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2B02F98A" w:rsidR="00E90E49" w:rsidRPr="00105294" w:rsidRDefault="00E90E49" w:rsidP="00E35559">
      <w:pPr>
        <w:pStyle w:val="3GPPHeader"/>
        <w:spacing w:after="60"/>
        <w:rPr>
          <w:sz w:val="32"/>
          <w:szCs w:val="32"/>
          <w:highlight w:val="yellow"/>
          <w:lang w:val="de-DE"/>
        </w:rPr>
      </w:pPr>
      <w:r w:rsidRPr="00105294">
        <w:rPr>
          <w:lang w:val="de-DE"/>
        </w:rPr>
        <w:t>3GPP TSG-RAN WG</w:t>
      </w:r>
      <w:r w:rsidR="00126758" w:rsidRPr="00105294">
        <w:rPr>
          <w:lang w:val="de-DE"/>
        </w:rPr>
        <w:t>2</w:t>
      </w:r>
      <w:r w:rsidRPr="00105294">
        <w:rPr>
          <w:lang w:val="de-DE"/>
        </w:rPr>
        <w:t xml:space="preserve"> #</w:t>
      </w:r>
      <w:r w:rsidR="00126758" w:rsidRPr="00105294">
        <w:rPr>
          <w:lang w:val="de-DE"/>
        </w:rPr>
        <w:t>10</w:t>
      </w:r>
      <w:r w:rsidR="004651F2" w:rsidRPr="00105294">
        <w:rPr>
          <w:lang w:val="de-DE"/>
        </w:rPr>
        <w:t>9</w:t>
      </w:r>
      <w:r w:rsidR="00457B46">
        <w:rPr>
          <w:lang w:val="de-DE"/>
        </w:rPr>
        <w:t>bis</w:t>
      </w:r>
      <w:r w:rsidR="00B438CF" w:rsidRPr="00105294">
        <w:rPr>
          <w:lang w:val="de-DE"/>
        </w:rPr>
        <w:t>-e</w:t>
      </w:r>
      <w:r w:rsidRPr="00105294">
        <w:rPr>
          <w:lang w:val="de-DE"/>
        </w:rPr>
        <w:tab/>
      </w:r>
      <w:r w:rsidR="001E7BFE" w:rsidRPr="001E7BFE">
        <w:rPr>
          <w:sz w:val="32"/>
          <w:szCs w:val="32"/>
          <w:lang w:val="de-DE"/>
        </w:rPr>
        <w:t>R2-20027</w:t>
      </w:r>
      <w:r w:rsidR="004E494A">
        <w:rPr>
          <w:sz w:val="32"/>
          <w:szCs w:val="32"/>
          <w:lang w:val="de-DE"/>
        </w:rPr>
        <w:t>13</w:t>
      </w:r>
    </w:p>
    <w:p w14:paraId="0B9CA2F7" w14:textId="30C9AFC9" w:rsidR="00E90E49" w:rsidRPr="00CE0424" w:rsidRDefault="00633B1A" w:rsidP="00311702">
      <w:pPr>
        <w:pStyle w:val="3GPPHeader"/>
      </w:pPr>
      <w:r w:rsidRPr="00105294">
        <w:rPr>
          <w:rFonts w:cs="Arial"/>
          <w:szCs w:val="24"/>
          <w:lang w:val="en-US"/>
        </w:rPr>
        <w:t>Electronic, 20 April – 30 April 2020</w:t>
      </w:r>
      <w:r w:rsidR="00FB7C1F">
        <w:tab/>
      </w:r>
    </w:p>
    <w:p w14:paraId="13249149" w14:textId="77777777" w:rsidR="00E90E49" w:rsidRPr="00CE0424" w:rsidRDefault="00E90E49" w:rsidP="00357380">
      <w:pPr>
        <w:pStyle w:val="3GPPHeader"/>
      </w:pPr>
    </w:p>
    <w:p w14:paraId="7CE64FCB" w14:textId="7EBBF269" w:rsidR="00E90E49" w:rsidRPr="00C92F6B" w:rsidRDefault="00E90E49" w:rsidP="00311702">
      <w:pPr>
        <w:pStyle w:val="3GPPHeader"/>
        <w:rPr>
          <w:sz w:val="22"/>
          <w:szCs w:val="22"/>
          <w:lang w:val="sv-SE"/>
        </w:rPr>
      </w:pPr>
      <w:r w:rsidRPr="00C92F6B">
        <w:rPr>
          <w:sz w:val="22"/>
          <w:szCs w:val="22"/>
          <w:lang w:val="sv-SE"/>
        </w:rPr>
        <w:t>Agenda Item:</w:t>
      </w:r>
      <w:r w:rsidRPr="00C92F6B">
        <w:rPr>
          <w:sz w:val="22"/>
          <w:szCs w:val="22"/>
          <w:lang w:val="sv-SE"/>
        </w:rPr>
        <w:tab/>
      </w:r>
      <w:r w:rsidR="00A45C8D">
        <w:rPr>
          <w:sz w:val="22"/>
          <w:szCs w:val="22"/>
          <w:lang w:val="sv-SE"/>
        </w:rPr>
        <w:t>6.7.</w:t>
      </w:r>
      <w:r w:rsidR="005C644B">
        <w:rPr>
          <w:sz w:val="22"/>
          <w:szCs w:val="22"/>
          <w:lang w:val="sv-SE"/>
        </w:rPr>
        <w:t>6</w:t>
      </w:r>
    </w:p>
    <w:p w14:paraId="2A901A6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550C9FC" w14:textId="300AE0B9" w:rsidR="00E90E49" w:rsidRPr="00CE0424" w:rsidRDefault="003D3C45" w:rsidP="00311702">
      <w:pPr>
        <w:pStyle w:val="3GPPHeader"/>
        <w:rPr>
          <w:sz w:val="22"/>
          <w:szCs w:val="22"/>
        </w:rPr>
      </w:pPr>
      <w:r>
        <w:rPr>
          <w:sz w:val="22"/>
          <w:szCs w:val="22"/>
        </w:rPr>
        <w:t>Title:</w:t>
      </w:r>
      <w:r w:rsidR="00E90E49" w:rsidRPr="00CE0424">
        <w:rPr>
          <w:sz w:val="22"/>
          <w:szCs w:val="22"/>
        </w:rPr>
        <w:tab/>
      </w:r>
      <w:r w:rsidR="005C644B">
        <w:rPr>
          <w:sz w:val="22"/>
          <w:szCs w:val="22"/>
        </w:rPr>
        <w:t>UE capability for IIoT</w:t>
      </w:r>
      <w:r w:rsidR="00022A90">
        <w:rPr>
          <w:sz w:val="22"/>
          <w:szCs w:val="22"/>
        </w:rPr>
        <w:t xml:space="preserve"> </w:t>
      </w:r>
    </w:p>
    <w:p w14:paraId="3CD265E9" w14:textId="259774A6" w:rsidR="00E90E49" w:rsidRPr="006F3F67" w:rsidRDefault="00E90E49" w:rsidP="006F3F67">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77777777" w:rsidR="00E90E49" w:rsidRPr="00CE0424" w:rsidRDefault="00230D18" w:rsidP="00CE0424">
      <w:pPr>
        <w:pStyle w:val="Heading1"/>
      </w:pPr>
      <w:r>
        <w:t>1</w:t>
      </w:r>
      <w:r>
        <w:tab/>
      </w:r>
      <w:r w:rsidR="00E90E49" w:rsidRPr="00CE0424">
        <w:t>Introduction</w:t>
      </w:r>
    </w:p>
    <w:p w14:paraId="06436934" w14:textId="6327913B" w:rsidR="00F7392A" w:rsidRPr="003055B2" w:rsidRDefault="009D4E24" w:rsidP="00F7392A">
      <w:pPr>
        <w:pStyle w:val="BodyText"/>
        <w:tabs>
          <w:tab w:val="left" w:pos="5415"/>
        </w:tabs>
        <w:rPr>
          <w:rFonts w:cs="Arial"/>
        </w:rPr>
      </w:pPr>
      <w:r w:rsidRPr="003055B2">
        <w:rPr>
          <w:rFonts w:cs="Arial"/>
        </w:rPr>
        <w:t xml:space="preserve">In this paper, we discuss </w:t>
      </w:r>
      <w:r w:rsidR="00454868" w:rsidRPr="003055B2">
        <w:rPr>
          <w:rFonts w:cs="Arial"/>
        </w:rPr>
        <w:t xml:space="preserve">the following FFS </w:t>
      </w:r>
      <w:r w:rsidR="00F7392A" w:rsidRPr="003055B2">
        <w:rPr>
          <w:rFonts w:cs="Arial"/>
        </w:rPr>
        <w:t>on UE capabilities:</w:t>
      </w:r>
    </w:p>
    <w:tbl>
      <w:tblPr>
        <w:tblStyle w:val="TableGrid3"/>
        <w:tblW w:w="9776" w:type="dxa"/>
        <w:tblLook w:val="04A0" w:firstRow="1" w:lastRow="0" w:firstColumn="1" w:lastColumn="0" w:noHBand="0" w:noVBand="1"/>
      </w:tblPr>
      <w:tblGrid>
        <w:gridCol w:w="9776"/>
      </w:tblGrid>
      <w:tr w:rsidR="00F7392A" w:rsidRPr="003055B2" w14:paraId="3C729B42" w14:textId="77777777" w:rsidTr="00214FCC">
        <w:trPr>
          <w:trHeight w:val="584"/>
        </w:trPr>
        <w:tc>
          <w:tcPr>
            <w:tcW w:w="9776" w:type="dxa"/>
          </w:tcPr>
          <w:p w14:paraId="67CCF226" w14:textId="77777777" w:rsidR="00F7392A" w:rsidRPr="003055B2" w:rsidRDefault="00F7392A" w:rsidP="005C3FE1">
            <w:pPr>
              <w:keepLines/>
              <w:overflowPunct/>
              <w:autoSpaceDE/>
              <w:autoSpaceDN/>
              <w:adjustRightInd/>
              <w:spacing w:before="100" w:beforeAutospacing="1" w:after="100" w:afterAutospacing="1"/>
              <w:textAlignment w:val="auto"/>
              <w:rPr>
                <w:rFonts w:ascii="Arial" w:hAnsi="Arial" w:cs="Arial"/>
                <w:lang w:eastAsia="en-US"/>
              </w:rPr>
            </w:pPr>
            <w:r w:rsidRPr="003055B2">
              <w:rPr>
                <w:rFonts w:ascii="Arial" w:hAnsi="Arial" w:cs="Arial"/>
                <w:lang w:eastAsia="en-US"/>
              </w:rPr>
              <w:t>FFS if data vs. data and SR vs. data prioritization are signalled as a single capability.</w:t>
            </w:r>
          </w:p>
        </w:tc>
      </w:tr>
      <w:tr w:rsidR="00DE3195" w:rsidRPr="003055B2" w14:paraId="525AB7A0" w14:textId="77777777" w:rsidTr="00214FCC">
        <w:trPr>
          <w:trHeight w:val="584"/>
        </w:trPr>
        <w:tc>
          <w:tcPr>
            <w:tcW w:w="9776" w:type="dxa"/>
          </w:tcPr>
          <w:p w14:paraId="750EC2F9" w14:textId="7D4367FD" w:rsidR="00DE3195" w:rsidRPr="003055B2" w:rsidRDefault="00DE3195" w:rsidP="005C3FE1">
            <w:pPr>
              <w:keepLines/>
              <w:overflowPunct/>
              <w:autoSpaceDE/>
              <w:autoSpaceDN/>
              <w:adjustRightInd/>
              <w:spacing w:before="100" w:beforeAutospacing="1" w:after="100" w:afterAutospacing="1"/>
              <w:textAlignment w:val="auto"/>
              <w:rPr>
                <w:rFonts w:ascii="Arial" w:hAnsi="Arial" w:cs="Arial"/>
                <w:lang w:eastAsia="en-US"/>
              </w:rPr>
            </w:pPr>
            <w:r w:rsidRPr="003055B2">
              <w:rPr>
                <w:rFonts w:ascii="Arial" w:hAnsi="Arial" w:cs="Arial"/>
              </w:rPr>
              <w:t>FFS whether LCH based prioritization can be supported without PHY prioritization. It is expected this can be discussed once RAN1 has defined feature/capability related to PHY layer prioritization</w:t>
            </w:r>
          </w:p>
        </w:tc>
      </w:tr>
      <w:tr w:rsidR="00F7392A" w:rsidRPr="003055B2" w14:paraId="09BC618B" w14:textId="77777777" w:rsidTr="00214FCC">
        <w:trPr>
          <w:trHeight w:val="584"/>
        </w:trPr>
        <w:tc>
          <w:tcPr>
            <w:tcW w:w="9776" w:type="dxa"/>
          </w:tcPr>
          <w:p w14:paraId="13BB0BB2" w14:textId="77777777" w:rsidR="00F7392A" w:rsidRPr="003055B2" w:rsidRDefault="00F7392A" w:rsidP="005C3FE1">
            <w:pPr>
              <w:keepLines/>
              <w:overflowPunct/>
              <w:autoSpaceDE/>
              <w:autoSpaceDN/>
              <w:adjustRightInd/>
              <w:spacing w:before="100" w:beforeAutospacing="1" w:after="100" w:afterAutospacing="1"/>
              <w:textAlignment w:val="auto"/>
              <w:rPr>
                <w:rFonts w:ascii="Arial" w:hAnsi="Arial" w:cs="Arial"/>
                <w:lang w:eastAsia="en-US"/>
              </w:rPr>
            </w:pPr>
            <w:r w:rsidRPr="003055B2">
              <w:rPr>
                <w:rFonts w:ascii="Arial" w:hAnsi="Arial" w:cs="Arial"/>
                <w:lang w:eastAsia="en-US"/>
              </w:rPr>
              <w:t>FFS whether signalling of maximum value of additional SPS periodicities and additional CG periodicities supported by a UE is required.</w:t>
            </w:r>
          </w:p>
        </w:tc>
      </w:tr>
      <w:tr w:rsidR="00F7392A" w:rsidRPr="003055B2" w14:paraId="05A210A5" w14:textId="77777777" w:rsidTr="00214FCC">
        <w:trPr>
          <w:trHeight w:val="584"/>
        </w:trPr>
        <w:tc>
          <w:tcPr>
            <w:tcW w:w="9776" w:type="dxa"/>
          </w:tcPr>
          <w:p w14:paraId="1AF6B59D" w14:textId="77777777" w:rsidR="00F7392A" w:rsidRPr="003055B2" w:rsidRDefault="00F7392A" w:rsidP="005C3FE1">
            <w:pPr>
              <w:keepLines/>
              <w:overflowPunct/>
              <w:autoSpaceDE/>
              <w:autoSpaceDN/>
              <w:adjustRightInd/>
              <w:spacing w:before="100" w:beforeAutospacing="1" w:after="100" w:afterAutospacing="1"/>
              <w:textAlignment w:val="auto"/>
              <w:rPr>
                <w:rFonts w:ascii="Arial" w:hAnsi="Arial" w:cs="Arial"/>
                <w:lang w:eastAsia="en-US"/>
              </w:rPr>
            </w:pPr>
            <w:r w:rsidRPr="003055B2">
              <w:rPr>
                <w:rFonts w:ascii="Arial" w:hAnsi="Arial" w:cs="Arial"/>
                <w:lang w:eastAsia="en-US"/>
              </w:rPr>
              <w:t>FFS what is the value range for maximum number of contexts signalled by the UE.</w:t>
            </w:r>
          </w:p>
        </w:tc>
      </w:tr>
    </w:tbl>
    <w:p w14:paraId="4DF42BED" w14:textId="3D0E30A2" w:rsidR="00CB2737" w:rsidRDefault="00230D18" w:rsidP="00C51F4E">
      <w:pPr>
        <w:pStyle w:val="Heading1"/>
      </w:pPr>
      <w:bookmarkStart w:id="0" w:name="_Ref178064866"/>
      <w:r>
        <w:t>2</w:t>
      </w:r>
      <w:r>
        <w:tab/>
      </w:r>
      <w:r w:rsidR="004000E8" w:rsidRPr="00CE0424">
        <w:t>Discussion</w:t>
      </w:r>
      <w:bookmarkEnd w:id="0"/>
    </w:p>
    <w:p w14:paraId="3F58E2AA" w14:textId="3823376A" w:rsidR="00DE3195" w:rsidRDefault="00C51F4E" w:rsidP="00B703C2">
      <w:pPr>
        <w:pStyle w:val="Heading2"/>
      </w:pPr>
      <w:r>
        <w:t>2.1 Intra-UE prioritization and multiplexing</w:t>
      </w:r>
    </w:p>
    <w:p w14:paraId="1B46DA23" w14:textId="1270C003" w:rsidR="00B65FEC" w:rsidRPr="005C3FE1" w:rsidRDefault="00F867E1" w:rsidP="003649AF">
      <w:pPr>
        <w:overflowPunct/>
        <w:autoSpaceDE/>
        <w:autoSpaceDN/>
        <w:adjustRightInd/>
        <w:textAlignment w:val="auto"/>
        <w:rPr>
          <w:rFonts w:ascii="Arial" w:hAnsi="Arial" w:cs="Arial"/>
        </w:rPr>
      </w:pPr>
      <w:r w:rsidRPr="005C3FE1">
        <w:rPr>
          <w:rFonts w:ascii="Arial" w:eastAsia="Batang" w:hAnsi="Arial" w:cs="Arial"/>
          <w:lang w:eastAsia="en-US"/>
        </w:rPr>
        <w:t xml:space="preserve">As we </w:t>
      </w:r>
      <w:r w:rsidR="00672838">
        <w:rPr>
          <w:rFonts w:ascii="Arial" w:eastAsia="Batang" w:hAnsi="Arial" w:cs="Arial"/>
          <w:lang w:eastAsia="en-US"/>
        </w:rPr>
        <w:t xml:space="preserve">discussed </w:t>
      </w:r>
      <w:r w:rsidRPr="005C3FE1">
        <w:rPr>
          <w:rFonts w:ascii="Arial" w:eastAsia="Batang" w:hAnsi="Arial" w:cs="Arial"/>
          <w:lang w:eastAsia="en-US"/>
        </w:rPr>
        <w:t xml:space="preserve">in the companion paper </w:t>
      </w:r>
      <w:r w:rsidR="003649AF" w:rsidRPr="005C3FE1">
        <w:rPr>
          <w:rFonts w:ascii="Arial" w:eastAsia="Batang" w:hAnsi="Arial" w:cs="Arial"/>
          <w:lang w:eastAsia="en-US"/>
        </w:rPr>
        <w:fldChar w:fldCharType="begin"/>
      </w:r>
      <w:r w:rsidR="003649AF" w:rsidRPr="005C3FE1">
        <w:rPr>
          <w:rFonts w:ascii="Arial" w:eastAsia="Batang" w:hAnsi="Arial" w:cs="Arial"/>
          <w:lang w:eastAsia="en-US"/>
        </w:rPr>
        <w:instrText xml:space="preserve"> REF _Ref37144191 \r \h </w:instrText>
      </w:r>
      <w:r w:rsidR="005C3FE1" w:rsidRPr="005C3FE1">
        <w:rPr>
          <w:rFonts w:ascii="Arial" w:eastAsia="Batang" w:hAnsi="Arial" w:cs="Arial"/>
          <w:lang w:eastAsia="en-US"/>
        </w:rPr>
        <w:instrText xml:space="preserve"> \* MERGEFORMAT </w:instrText>
      </w:r>
      <w:r w:rsidR="003649AF" w:rsidRPr="005C3FE1">
        <w:rPr>
          <w:rFonts w:ascii="Arial" w:eastAsia="Batang" w:hAnsi="Arial" w:cs="Arial"/>
          <w:lang w:eastAsia="en-US"/>
        </w:rPr>
      </w:r>
      <w:r w:rsidR="003649AF" w:rsidRPr="005C3FE1">
        <w:rPr>
          <w:rFonts w:ascii="Arial" w:eastAsia="Batang" w:hAnsi="Arial" w:cs="Arial"/>
          <w:lang w:eastAsia="en-US"/>
        </w:rPr>
        <w:fldChar w:fldCharType="separate"/>
      </w:r>
      <w:r w:rsidR="009A12BE" w:rsidRPr="005C3FE1">
        <w:rPr>
          <w:rFonts w:ascii="Arial" w:eastAsia="Batang" w:hAnsi="Arial" w:cs="Arial"/>
          <w:lang w:eastAsia="en-US"/>
        </w:rPr>
        <w:t>[1]</w:t>
      </w:r>
      <w:r w:rsidR="003649AF" w:rsidRPr="005C3FE1">
        <w:rPr>
          <w:rFonts w:ascii="Arial" w:eastAsia="Batang" w:hAnsi="Arial" w:cs="Arial"/>
          <w:lang w:eastAsia="en-US"/>
        </w:rPr>
        <w:fldChar w:fldCharType="end"/>
      </w:r>
      <w:r w:rsidR="003649AF" w:rsidRPr="005C3FE1">
        <w:rPr>
          <w:rFonts w:ascii="Arial" w:eastAsia="Batang" w:hAnsi="Arial" w:cs="Arial"/>
          <w:lang w:eastAsia="en-US"/>
        </w:rPr>
        <w:t>, it is beneficial to separately configure SR/data and data/data prioritization since they target different use cases</w:t>
      </w:r>
      <w:r w:rsidR="00984835" w:rsidRPr="005C3FE1">
        <w:rPr>
          <w:rFonts w:ascii="Arial" w:eastAsia="Batang" w:hAnsi="Arial" w:cs="Arial"/>
          <w:lang w:eastAsia="en-US"/>
        </w:rPr>
        <w:t xml:space="preserve"> and </w:t>
      </w:r>
      <w:r w:rsidR="003649AF" w:rsidRPr="005C3FE1">
        <w:rPr>
          <w:rFonts w:ascii="Arial" w:eastAsia="Batang" w:hAnsi="Arial" w:cs="Arial"/>
          <w:lang w:eastAsia="en-US"/>
        </w:rPr>
        <w:t xml:space="preserve">have different impacts on gNB UL implementation. On the other hand, </w:t>
      </w:r>
      <w:r w:rsidR="00B84A2F" w:rsidRPr="005C3FE1">
        <w:rPr>
          <w:rFonts w:ascii="Arial" w:eastAsia="Batang" w:hAnsi="Arial" w:cs="Arial"/>
          <w:lang w:eastAsia="en-US"/>
        </w:rPr>
        <w:t xml:space="preserve">these two features </w:t>
      </w:r>
      <w:r w:rsidR="003649AF" w:rsidRPr="005C3FE1">
        <w:rPr>
          <w:rFonts w:ascii="Arial" w:hAnsi="Arial" w:cs="Arial"/>
        </w:rPr>
        <w:t xml:space="preserve">both </w:t>
      </w:r>
      <w:r w:rsidR="00B84A2F" w:rsidRPr="005C3FE1">
        <w:rPr>
          <w:rFonts w:ascii="Arial" w:hAnsi="Arial" w:cs="Arial"/>
        </w:rPr>
        <w:t xml:space="preserve">require another set of basic intra-UE </w:t>
      </w:r>
      <w:r w:rsidR="001D7497" w:rsidRPr="005C3FE1">
        <w:rPr>
          <w:rFonts w:ascii="Arial" w:hAnsi="Arial" w:cs="Arial"/>
        </w:rPr>
        <w:t>feature</w:t>
      </w:r>
      <w:r w:rsidR="00B84A2F" w:rsidRPr="005C3FE1">
        <w:rPr>
          <w:rFonts w:ascii="Arial" w:hAnsi="Arial" w:cs="Arial"/>
        </w:rPr>
        <w:t xml:space="preserve"> such as </w:t>
      </w:r>
      <w:r w:rsidR="003649AF" w:rsidRPr="005C3FE1">
        <w:rPr>
          <w:rFonts w:ascii="Arial" w:hAnsi="Arial" w:cs="Arial"/>
        </w:rPr>
        <w:t>PHY-priority index</w:t>
      </w:r>
      <w:r w:rsidR="005A605D" w:rsidRPr="005C3FE1">
        <w:rPr>
          <w:rFonts w:ascii="Arial" w:hAnsi="Arial" w:cs="Arial"/>
        </w:rPr>
        <w:t xml:space="preserve">. If we define two separate capabilities, then, inevitably, more capability bits (such as PHY-priority index) are needed to properly capture the intended functionalities. </w:t>
      </w:r>
      <w:r w:rsidR="001D7497" w:rsidRPr="005C3FE1">
        <w:rPr>
          <w:rFonts w:ascii="Arial" w:hAnsi="Arial" w:cs="Arial"/>
        </w:rPr>
        <w:t>In addition, the details of these capabilities are handled by RAN1</w:t>
      </w:r>
      <w:r w:rsidR="00F54773">
        <w:rPr>
          <w:rFonts w:ascii="Arial" w:hAnsi="Arial" w:cs="Arial"/>
        </w:rPr>
        <w:t xml:space="preserve"> and it does not seem that two separate SR/Data and Data/Data capabilities are under-discussion</w:t>
      </w:r>
      <w:r w:rsidR="001D7497" w:rsidRPr="005C3FE1">
        <w:rPr>
          <w:rFonts w:ascii="Arial" w:hAnsi="Arial" w:cs="Arial"/>
        </w:rPr>
        <w:t xml:space="preserve">. </w:t>
      </w:r>
      <w:r w:rsidR="005A605D" w:rsidRPr="005C3FE1">
        <w:rPr>
          <w:rFonts w:ascii="Arial" w:hAnsi="Arial" w:cs="Arial"/>
        </w:rPr>
        <w:t xml:space="preserve">Therefore, </w:t>
      </w:r>
      <w:r w:rsidR="001D7497" w:rsidRPr="005C3FE1">
        <w:rPr>
          <w:rFonts w:ascii="Arial" w:hAnsi="Arial" w:cs="Arial"/>
        </w:rPr>
        <w:t>for the reasons above</w:t>
      </w:r>
      <w:r w:rsidR="005A605D" w:rsidRPr="005C3FE1">
        <w:rPr>
          <w:rFonts w:ascii="Arial" w:hAnsi="Arial" w:cs="Arial"/>
        </w:rPr>
        <w:t xml:space="preserve">, we prefer one-bit capability indication </w:t>
      </w:r>
      <w:r w:rsidR="00B65FEC" w:rsidRPr="005C3FE1">
        <w:rPr>
          <w:rFonts w:ascii="Arial" w:hAnsi="Arial" w:cs="Arial"/>
        </w:rPr>
        <w:t>for both cases</w:t>
      </w:r>
      <w:r w:rsidR="005A605D" w:rsidRPr="005C3FE1">
        <w:rPr>
          <w:rFonts w:ascii="Arial" w:hAnsi="Arial" w:cs="Arial"/>
        </w:rPr>
        <w:t>.</w:t>
      </w:r>
    </w:p>
    <w:p w14:paraId="7908DB19" w14:textId="60873D7A" w:rsidR="005A605D" w:rsidRDefault="00960907" w:rsidP="007D6340">
      <w:pPr>
        <w:pStyle w:val="Proposal"/>
      </w:pPr>
      <w:bookmarkStart w:id="1" w:name="_Toc37356920"/>
      <w:r w:rsidRPr="00960907">
        <w:t>Data vs. data and SR vs. data prioritization are signalled as a single capability</w:t>
      </w:r>
      <w:r>
        <w:t>.</w:t>
      </w:r>
      <w:bookmarkEnd w:id="1"/>
    </w:p>
    <w:p w14:paraId="70A6DC14" w14:textId="70528151" w:rsidR="0050315F" w:rsidRDefault="0050315F" w:rsidP="0050315F"/>
    <w:p w14:paraId="283806C6" w14:textId="37D9B1C3" w:rsidR="008F1E18" w:rsidRPr="00C2416E" w:rsidRDefault="008F1E18" w:rsidP="0050315F">
      <w:pPr>
        <w:rPr>
          <w:rFonts w:ascii="Arial" w:hAnsi="Arial" w:cs="Arial"/>
        </w:rPr>
      </w:pPr>
      <w:r w:rsidRPr="00C2416E">
        <w:rPr>
          <w:rFonts w:ascii="Arial" w:hAnsi="Arial" w:cs="Arial"/>
        </w:rPr>
        <w:t xml:space="preserve">Another open issue is related with whether LCH based prioritization can be supported without PHY prioritization. Keep in mind that RAN2 reached the </w:t>
      </w:r>
      <w:r w:rsidR="008A0EAF" w:rsidRPr="00C2416E">
        <w:rPr>
          <w:rFonts w:ascii="Arial" w:hAnsi="Arial" w:cs="Arial"/>
        </w:rPr>
        <w:t xml:space="preserve">following </w:t>
      </w:r>
      <w:r w:rsidRPr="00C2416E">
        <w:rPr>
          <w:rFonts w:ascii="Arial" w:hAnsi="Arial" w:cs="Arial"/>
        </w:rPr>
        <w:t xml:space="preserve">agreement that, in some cases, one PDU is generated, see below. </w:t>
      </w:r>
    </w:p>
    <w:tbl>
      <w:tblPr>
        <w:tblStyle w:val="TableGrid"/>
        <w:tblW w:w="0" w:type="auto"/>
        <w:tblLook w:val="04A0" w:firstRow="1" w:lastRow="0" w:firstColumn="1" w:lastColumn="0" w:noHBand="0" w:noVBand="1"/>
      </w:tblPr>
      <w:tblGrid>
        <w:gridCol w:w="9629"/>
      </w:tblGrid>
      <w:tr w:rsidR="008F1E18" w14:paraId="45D1C4F3" w14:textId="77777777" w:rsidTr="008F1E18">
        <w:tc>
          <w:tcPr>
            <w:tcW w:w="9629" w:type="dxa"/>
          </w:tcPr>
          <w:p w14:paraId="1F6D7943" w14:textId="067D349D" w:rsidR="008F1E18" w:rsidRPr="00D6517C" w:rsidRDefault="008F1E18" w:rsidP="00D6517C">
            <w:pPr>
              <w:tabs>
                <w:tab w:val="num" w:pos="1619"/>
              </w:tabs>
              <w:overflowPunct/>
              <w:autoSpaceDE/>
              <w:autoSpaceDN/>
              <w:adjustRightInd/>
              <w:spacing w:before="120" w:after="120"/>
              <w:textAlignment w:val="auto"/>
              <w:rPr>
                <w:rFonts w:ascii="Arial" w:eastAsia="MS Mincho" w:hAnsi="Arial"/>
                <w:bCs/>
                <w:szCs w:val="24"/>
                <w:lang w:eastAsia="en-GB"/>
              </w:rPr>
            </w:pPr>
            <w:r w:rsidRPr="00D6517C">
              <w:rPr>
                <w:rFonts w:ascii="Arial" w:eastAsia="MS Mincho" w:hAnsi="Arial"/>
                <w:bCs/>
                <w:sz w:val="20"/>
                <w:lang w:val="en-US" w:eastAsia="en-GB"/>
              </w:rPr>
              <w:t xml:space="preserve">For </w:t>
            </w:r>
            <w:r w:rsidR="00BE2261" w:rsidRPr="00D6517C">
              <w:rPr>
                <w:rFonts w:ascii="Arial" w:eastAsia="MS Mincho" w:hAnsi="Arial"/>
                <w:bCs/>
                <w:sz w:val="20"/>
                <w:lang w:val="en-US" w:eastAsia="en-GB"/>
              </w:rPr>
              <w:t>t</w:t>
            </w:r>
            <w:r w:rsidRPr="00D6517C">
              <w:rPr>
                <w:rFonts w:ascii="Arial" w:eastAsia="MS Mincho" w:hAnsi="Arial"/>
                <w:bCs/>
                <w:sz w:val="20"/>
                <w:lang w:val="en-US" w:eastAsia="en-GB"/>
              </w:rPr>
              <w:t xml:space="preserve">he case when no PDU has been generated at all yet, and there is two grants where one will be de-prioritized (and there is data available for both grants).  </w:t>
            </w:r>
            <w:r w:rsidRPr="00D6517C">
              <w:rPr>
                <w:rFonts w:ascii="Arial" w:eastAsia="MS Mincho" w:hAnsi="Arial"/>
                <w:bCs/>
                <w:sz w:val="20"/>
                <w:lang w:eastAsia="en-GB"/>
              </w:rPr>
              <w:t>One PDU is generated</w:t>
            </w:r>
          </w:p>
        </w:tc>
      </w:tr>
    </w:tbl>
    <w:p w14:paraId="7A8DA62A" w14:textId="6B85AFE2" w:rsidR="00B703C2" w:rsidRPr="00F4078B" w:rsidRDefault="000370A6" w:rsidP="008B116C">
      <w:pPr>
        <w:spacing w:before="120"/>
        <w:rPr>
          <w:rFonts w:ascii="Arial" w:hAnsi="Arial" w:cs="Arial"/>
        </w:rPr>
      </w:pPr>
      <w:r w:rsidRPr="00F4078B">
        <w:rPr>
          <w:rFonts w:ascii="Arial" w:hAnsi="Arial" w:cs="Arial"/>
        </w:rPr>
        <w:t xml:space="preserve">The support of </w:t>
      </w:r>
      <w:r w:rsidR="00A0696E" w:rsidRPr="00F4078B">
        <w:rPr>
          <w:rFonts w:ascii="Arial" w:hAnsi="Arial" w:cs="Arial"/>
        </w:rPr>
        <w:t>th</w:t>
      </w:r>
      <w:r w:rsidR="004F5579">
        <w:rPr>
          <w:rFonts w:ascii="Arial" w:hAnsi="Arial" w:cs="Arial"/>
        </w:rPr>
        <w:t xml:space="preserve">e above agreement </w:t>
      </w:r>
      <w:r w:rsidR="00A0696E" w:rsidRPr="00F4078B">
        <w:rPr>
          <w:rFonts w:ascii="Arial" w:hAnsi="Arial" w:cs="Arial"/>
        </w:rPr>
        <w:t xml:space="preserve">does not require PHY prioritization. PHY prioritization </w:t>
      </w:r>
      <w:r w:rsidR="00117F2F">
        <w:rPr>
          <w:rFonts w:ascii="Arial" w:hAnsi="Arial" w:cs="Arial"/>
        </w:rPr>
        <w:t xml:space="preserve">is </w:t>
      </w:r>
      <w:r w:rsidR="00A0696E" w:rsidRPr="00F4078B">
        <w:rPr>
          <w:rFonts w:ascii="Arial" w:hAnsi="Arial" w:cs="Arial"/>
        </w:rPr>
        <w:t xml:space="preserve">required in the following case: </w:t>
      </w:r>
      <w:r w:rsidR="00117F2F">
        <w:rPr>
          <w:rFonts w:ascii="Arial" w:hAnsi="Arial" w:cs="Arial"/>
        </w:rPr>
        <w:t xml:space="preserve">the first </w:t>
      </w:r>
      <w:r w:rsidR="00A0696E" w:rsidRPr="00F4078B">
        <w:rPr>
          <w:rFonts w:ascii="Arial" w:hAnsi="Arial" w:cs="Arial"/>
        </w:rPr>
        <w:t>PDU has been generated</w:t>
      </w:r>
      <w:r w:rsidR="00117F2F">
        <w:rPr>
          <w:rFonts w:ascii="Arial" w:hAnsi="Arial" w:cs="Arial"/>
        </w:rPr>
        <w:t xml:space="preserve">; </w:t>
      </w:r>
      <w:r w:rsidR="00A0696E" w:rsidRPr="00F4078B">
        <w:rPr>
          <w:rFonts w:ascii="Arial" w:hAnsi="Arial" w:cs="Arial"/>
        </w:rPr>
        <w:t>due to high priority LCH</w:t>
      </w:r>
      <w:r w:rsidR="00AE668C" w:rsidRPr="00F4078B">
        <w:rPr>
          <w:rFonts w:ascii="Arial" w:hAnsi="Arial" w:cs="Arial"/>
        </w:rPr>
        <w:t xml:space="preserve"> </w:t>
      </w:r>
      <w:r w:rsidR="00117F2F">
        <w:rPr>
          <w:rFonts w:ascii="Arial" w:hAnsi="Arial" w:cs="Arial"/>
        </w:rPr>
        <w:t xml:space="preserve">arrival, the </w:t>
      </w:r>
      <w:r w:rsidR="00117F2F" w:rsidRPr="00F4078B">
        <w:rPr>
          <w:rFonts w:ascii="Arial" w:hAnsi="Arial" w:cs="Arial"/>
        </w:rPr>
        <w:t xml:space="preserve">second PDU </w:t>
      </w:r>
      <w:r w:rsidR="00117F2F">
        <w:rPr>
          <w:rFonts w:ascii="Arial" w:hAnsi="Arial" w:cs="Arial"/>
        </w:rPr>
        <w:t xml:space="preserve">is </w:t>
      </w:r>
      <w:r w:rsidR="00117F2F" w:rsidRPr="00F4078B">
        <w:rPr>
          <w:rFonts w:ascii="Arial" w:hAnsi="Arial" w:cs="Arial"/>
        </w:rPr>
        <w:t xml:space="preserve">generated </w:t>
      </w:r>
      <w:r w:rsidR="00AE668C" w:rsidRPr="00F4078B">
        <w:rPr>
          <w:rFonts w:ascii="Arial" w:hAnsi="Arial" w:cs="Arial"/>
          <w:lang w:eastAsia="zh-CN"/>
        </w:rPr>
        <w:t>and</w:t>
      </w:r>
      <w:r w:rsidR="00AE668C" w:rsidRPr="00F4078B">
        <w:rPr>
          <w:rFonts w:ascii="Arial" w:hAnsi="Arial" w:cs="Arial"/>
        </w:rPr>
        <w:t xml:space="preserve"> so PHY </w:t>
      </w:r>
      <w:r w:rsidR="00AD012E">
        <w:rPr>
          <w:rFonts w:ascii="Arial" w:hAnsi="Arial" w:cs="Arial"/>
        </w:rPr>
        <w:t xml:space="preserve">layer </w:t>
      </w:r>
      <w:r w:rsidR="00AE668C" w:rsidRPr="00F4078B">
        <w:rPr>
          <w:rFonts w:ascii="Arial" w:hAnsi="Arial" w:cs="Arial"/>
        </w:rPr>
        <w:t>has to cancel the previous transmission</w:t>
      </w:r>
      <w:r w:rsidR="00A0696E" w:rsidRPr="00F4078B">
        <w:rPr>
          <w:rFonts w:ascii="Arial" w:hAnsi="Arial" w:cs="Arial"/>
        </w:rPr>
        <w:t xml:space="preserve">. </w:t>
      </w:r>
      <w:r w:rsidR="00FA1106" w:rsidRPr="00F4078B">
        <w:rPr>
          <w:rFonts w:ascii="Arial" w:hAnsi="Arial" w:cs="Arial"/>
        </w:rPr>
        <w:t>Thus, we believe an LCH-based prioritization can be supported without PHY prioritization.</w:t>
      </w:r>
      <w:r w:rsidR="005E4A08" w:rsidRPr="00F4078B">
        <w:rPr>
          <w:rFonts w:ascii="Arial" w:hAnsi="Arial" w:cs="Arial"/>
        </w:rPr>
        <w:t xml:space="preserve"> To support the </w:t>
      </w:r>
      <w:r w:rsidR="000A667B">
        <w:rPr>
          <w:rFonts w:ascii="Arial" w:hAnsi="Arial" w:cs="Arial"/>
        </w:rPr>
        <w:t xml:space="preserve">LCH based prioritization without </w:t>
      </w:r>
      <w:r w:rsidR="000A667B">
        <w:rPr>
          <w:rFonts w:ascii="Arial" w:hAnsi="Arial" w:cs="Arial"/>
        </w:rPr>
        <w:lastRenderedPageBreak/>
        <w:t>PHY prioritization</w:t>
      </w:r>
      <w:r w:rsidR="005E4A08" w:rsidRPr="00F4078B">
        <w:rPr>
          <w:rFonts w:ascii="Arial" w:hAnsi="Arial" w:cs="Arial"/>
        </w:rPr>
        <w:t>, a</w:t>
      </w:r>
      <w:r w:rsidR="00FA1106" w:rsidRPr="00F4078B">
        <w:rPr>
          <w:rFonts w:ascii="Arial" w:hAnsi="Arial" w:cs="Arial"/>
        </w:rPr>
        <w:t xml:space="preserve"> note proposed in </w:t>
      </w:r>
      <w:r w:rsidR="005E4A08" w:rsidRPr="00F4078B">
        <w:rPr>
          <w:rFonts w:ascii="Arial" w:hAnsi="Arial" w:cs="Arial"/>
        </w:rPr>
        <w:fldChar w:fldCharType="begin"/>
      </w:r>
      <w:r w:rsidR="005E4A08" w:rsidRPr="00F4078B">
        <w:rPr>
          <w:rFonts w:ascii="Arial" w:hAnsi="Arial" w:cs="Arial"/>
        </w:rPr>
        <w:instrText xml:space="preserve"> REF _Ref37144191 \r \h </w:instrText>
      </w:r>
      <w:r w:rsidR="00F4078B">
        <w:rPr>
          <w:rFonts w:ascii="Arial" w:hAnsi="Arial" w:cs="Arial"/>
        </w:rPr>
        <w:instrText xml:space="preserve"> \* MERGEFORMAT </w:instrText>
      </w:r>
      <w:r w:rsidR="005E4A08" w:rsidRPr="00F4078B">
        <w:rPr>
          <w:rFonts w:ascii="Arial" w:hAnsi="Arial" w:cs="Arial"/>
        </w:rPr>
      </w:r>
      <w:r w:rsidR="005E4A08" w:rsidRPr="00F4078B">
        <w:rPr>
          <w:rFonts w:ascii="Arial" w:hAnsi="Arial" w:cs="Arial"/>
        </w:rPr>
        <w:fldChar w:fldCharType="separate"/>
      </w:r>
      <w:r w:rsidR="009A12BE" w:rsidRPr="00F4078B">
        <w:rPr>
          <w:rFonts w:ascii="Arial" w:hAnsi="Arial" w:cs="Arial"/>
        </w:rPr>
        <w:t>[1]</w:t>
      </w:r>
      <w:r w:rsidR="005E4A08" w:rsidRPr="00F4078B">
        <w:rPr>
          <w:rFonts w:ascii="Arial" w:hAnsi="Arial" w:cs="Arial"/>
        </w:rPr>
        <w:fldChar w:fldCharType="end"/>
      </w:r>
      <w:r w:rsidR="005E4A08" w:rsidRPr="00F4078B">
        <w:rPr>
          <w:rFonts w:ascii="Arial" w:hAnsi="Arial" w:cs="Arial"/>
        </w:rPr>
        <w:t xml:space="preserve"> can be used</w:t>
      </w:r>
      <w:r w:rsidR="00FA1106" w:rsidRPr="00F4078B">
        <w:rPr>
          <w:rFonts w:ascii="Arial" w:hAnsi="Arial" w:cs="Arial"/>
        </w:rPr>
        <w:t xml:space="preserve">: </w:t>
      </w:r>
      <w:bookmarkStart w:id="2" w:name="_Hlk37073307"/>
      <w:r w:rsidR="00FA1106" w:rsidRPr="00B37DDA">
        <w:rPr>
          <w:rFonts w:eastAsia="Batang"/>
          <w:i/>
          <w:iCs/>
          <w:u w:val="single"/>
          <w:lang w:val="en-US" w:eastAsia="ko-KR"/>
        </w:rPr>
        <w:t>An uplink grant, which by PHY grant prioritization will not be transmitted due to overlapping with another ongoing transmission, is considered as a de-prioritized uplink grant</w:t>
      </w:r>
      <w:bookmarkEnd w:id="2"/>
      <w:r w:rsidR="00FA1106" w:rsidRPr="00B37DDA">
        <w:rPr>
          <w:rFonts w:eastAsia="Batang"/>
          <w:i/>
          <w:iCs/>
          <w:u w:val="single"/>
          <w:lang w:val="en-US" w:eastAsia="ko-KR"/>
        </w:rPr>
        <w:t>.</w:t>
      </w:r>
    </w:p>
    <w:p w14:paraId="2B3E6C55" w14:textId="4D42264A" w:rsidR="0050315F" w:rsidRPr="00906B57" w:rsidRDefault="003F7FCE" w:rsidP="00CB2737">
      <w:pPr>
        <w:pStyle w:val="Proposal"/>
        <w:rPr>
          <w:lang w:val="en-US"/>
        </w:rPr>
      </w:pPr>
      <w:bookmarkStart w:id="3" w:name="_Toc37356921"/>
      <w:r w:rsidRPr="00F7392A">
        <w:t>LCH based prioritization can be supported without PHY prioritization</w:t>
      </w:r>
      <w:r w:rsidR="0050315F">
        <w:rPr>
          <w:lang w:val="en-US"/>
        </w:rPr>
        <w:t>.</w:t>
      </w:r>
      <w:bookmarkEnd w:id="3"/>
    </w:p>
    <w:p w14:paraId="3BC38321" w14:textId="7DA7CCE6" w:rsidR="00C51F4E" w:rsidRDefault="00C51F4E" w:rsidP="00C51F4E">
      <w:pPr>
        <w:pStyle w:val="Heading2"/>
      </w:pPr>
      <w:r>
        <w:t>2.2 Scheduling enhancement</w:t>
      </w:r>
    </w:p>
    <w:p w14:paraId="5B419C51" w14:textId="17D57552" w:rsidR="00906B57" w:rsidRPr="00AD012E" w:rsidRDefault="006215C4" w:rsidP="00731136">
      <w:pPr>
        <w:rPr>
          <w:rFonts w:ascii="Arial" w:hAnsi="Arial" w:cs="Arial"/>
        </w:rPr>
      </w:pPr>
      <w:r w:rsidRPr="00AD012E">
        <w:rPr>
          <w:rFonts w:ascii="Arial" w:hAnsi="Arial" w:cs="Arial"/>
          <w:lang w:eastAsia="en-US"/>
        </w:rPr>
        <w:t>There are some discussions on whether signalling of maximum value of additional SPS periodicities and additional CG periodicities supported by a UE is required.</w:t>
      </w:r>
      <w:r w:rsidR="00D3491E">
        <w:rPr>
          <w:rFonts w:ascii="Arial" w:hAnsi="Arial" w:cs="Arial"/>
          <w:lang w:eastAsia="en-US"/>
        </w:rPr>
        <w:t xml:space="preserve"> </w:t>
      </w:r>
      <w:r w:rsidR="00731136" w:rsidRPr="00AD012E">
        <w:rPr>
          <w:rFonts w:ascii="Arial" w:hAnsi="Arial" w:cs="Arial"/>
          <w:lang w:eastAsia="zh-CN"/>
        </w:rPr>
        <w:t>A</w:t>
      </w:r>
      <w:r w:rsidRPr="00AD012E">
        <w:rPr>
          <w:rFonts w:ascii="Arial" w:hAnsi="Arial" w:cs="Arial"/>
        </w:rPr>
        <w:t xml:space="preserve">lthough there </w:t>
      </w:r>
      <w:r w:rsidR="00020453">
        <w:rPr>
          <w:rFonts w:ascii="Arial" w:hAnsi="Arial" w:cs="Arial"/>
        </w:rPr>
        <w:t xml:space="preserve">are </w:t>
      </w:r>
      <w:r w:rsidRPr="00AD012E">
        <w:rPr>
          <w:rFonts w:ascii="Arial" w:hAnsi="Arial" w:cs="Arial"/>
        </w:rPr>
        <w:t xml:space="preserve">many CG/SPS periodicities (&gt;9000) to be supported, we don’t see any challenges to implement a large periodicity value at UE. </w:t>
      </w:r>
      <w:r w:rsidR="00731136" w:rsidRPr="00AD012E">
        <w:rPr>
          <w:rFonts w:ascii="Arial" w:hAnsi="Arial" w:cs="Arial"/>
        </w:rPr>
        <w:t>T</w:t>
      </w:r>
      <w:r w:rsidRPr="00AD012E">
        <w:rPr>
          <w:rFonts w:ascii="Arial" w:hAnsi="Arial" w:cs="Arial"/>
        </w:rPr>
        <w:t xml:space="preserve">here are </w:t>
      </w:r>
      <w:r w:rsidR="00731136" w:rsidRPr="00AD012E">
        <w:rPr>
          <w:rFonts w:ascii="Arial" w:hAnsi="Arial" w:cs="Arial"/>
        </w:rPr>
        <w:t xml:space="preserve">some further </w:t>
      </w:r>
      <w:r w:rsidRPr="00AD012E">
        <w:rPr>
          <w:rFonts w:ascii="Arial" w:hAnsi="Arial" w:cs="Arial"/>
        </w:rPr>
        <w:t>concerns on</w:t>
      </w:r>
      <w:r w:rsidRPr="00AD012E">
        <w:rPr>
          <w:rFonts w:ascii="Arial" w:eastAsia="Batang" w:hAnsi="Arial" w:cs="Arial"/>
          <w:lang w:eastAsia="en-US"/>
        </w:rPr>
        <w:t xml:space="preserve"> testing/verification</w:t>
      </w:r>
      <w:r w:rsidR="00731136" w:rsidRPr="00AD012E">
        <w:rPr>
          <w:rFonts w:ascii="Arial" w:eastAsia="Batang" w:hAnsi="Arial" w:cs="Arial"/>
          <w:lang w:eastAsia="en-US"/>
        </w:rPr>
        <w:t xml:space="preserve">, but </w:t>
      </w:r>
      <w:r w:rsidR="00731136" w:rsidRPr="00AD012E">
        <w:rPr>
          <w:rFonts w:ascii="Arial" w:hAnsi="Arial" w:cs="Arial"/>
        </w:rPr>
        <w:t xml:space="preserve">it </w:t>
      </w:r>
      <w:r w:rsidR="00F06696" w:rsidRPr="00AD012E">
        <w:rPr>
          <w:rFonts w:ascii="Arial" w:hAnsi="Arial" w:cs="Arial"/>
        </w:rPr>
        <w:t xml:space="preserve">is </w:t>
      </w:r>
      <w:r w:rsidR="00731136" w:rsidRPr="00AD012E">
        <w:rPr>
          <w:rFonts w:ascii="Arial" w:hAnsi="Arial" w:cs="Arial"/>
        </w:rPr>
        <w:t>sufficient to</w:t>
      </w:r>
      <w:r w:rsidR="00906B57" w:rsidRPr="00AD012E">
        <w:rPr>
          <w:rFonts w:ascii="Arial" w:hAnsi="Arial" w:cs="Arial"/>
        </w:rPr>
        <w:t xml:space="preserve"> test several random</w:t>
      </w:r>
      <w:r w:rsidR="00731136" w:rsidRPr="00AD012E">
        <w:rPr>
          <w:rFonts w:ascii="Arial" w:hAnsi="Arial" w:cs="Arial"/>
        </w:rPr>
        <w:t>ly</w:t>
      </w:r>
      <w:r w:rsidR="00906B57" w:rsidRPr="00AD012E">
        <w:rPr>
          <w:rFonts w:ascii="Arial" w:hAnsi="Arial" w:cs="Arial"/>
        </w:rPr>
        <w:t xml:space="preserve"> chosen values</w:t>
      </w:r>
      <w:r w:rsidR="00731136" w:rsidRPr="00AD012E">
        <w:rPr>
          <w:rFonts w:ascii="Arial" w:hAnsi="Arial" w:cs="Arial"/>
        </w:rPr>
        <w:t xml:space="preserve"> and the details can be specified in RAN5</w:t>
      </w:r>
      <w:r w:rsidR="00906B57" w:rsidRPr="00AD012E">
        <w:rPr>
          <w:rFonts w:ascii="Arial" w:hAnsi="Arial" w:cs="Arial"/>
        </w:rPr>
        <w:t xml:space="preserve">.  </w:t>
      </w:r>
    </w:p>
    <w:p w14:paraId="6FB45F51" w14:textId="1ABC4C26" w:rsidR="00052D85" w:rsidRPr="00610470" w:rsidRDefault="00A6789E" w:rsidP="00052D85">
      <w:pPr>
        <w:pStyle w:val="Proposal"/>
        <w:rPr>
          <w:lang w:val="en-US"/>
        </w:rPr>
      </w:pPr>
      <w:bookmarkStart w:id="4" w:name="_Toc37356922"/>
      <w:r>
        <w:rPr>
          <w:lang w:eastAsia="en-US"/>
        </w:rPr>
        <w:t>S</w:t>
      </w:r>
      <w:r w:rsidRPr="00F7392A">
        <w:rPr>
          <w:lang w:eastAsia="en-US"/>
        </w:rPr>
        <w:t xml:space="preserve">ignalling of maximum value of </w:t>
      </w:r>
      <w:r w:rsidR="00764170">
        <w:rPr>
          <w:lang w:eastAsia="en-US"/>
        </w:rPr>
        <w:t>Rel</w:t>
      </w:r>
      <w:r w:rsidR="00764170">
        <w:rPr>
          <w:lang w:val="sv-SE" w:eastAsia="en-US"/>
        </w:rPr>
        <w:t xml:space="preserve">-16 </w:t>
      </w:r>
      <w:r w:rsidRPr="00F7392A">
        <w:rPr>
          <w:lang w:eastAsia="en-US"/>
        </w:rPr>
        <w:t>SPS</w:t>
      </w:r>
      <w:r w:rsidR="002B4FF4">
        <w:rPr>
          <w:lang w:eastAsia="en-US"/>
        </w:rPr>
        <w:t>/CG</w:t>
      </w:r>
      <w:r w:rsidRPr="00F7392A">
        <w:rPr>
          <w:lang w:eastAsia="en-US"/>
        </w:rPr>
        <w:t xml:space="preserve"> periodicities supported is </w:t>
      </w:r>
      <w:r>
        <w:rPr>
          <w:lang w:eastAsia="en-US"/>
        </w:rPr>
        <w:t>NOT needed</w:t>
      </w:r>
      <w:r w:rsidR="00052D85" w:rsidRPr="00610470">
        <w:rPr>
          <w:lang w:val="en-US"/>
        </w:rPr>
        <w:t>.</w:t>
      </w:r>
      <w:bookmarkEnd w:id="4"/>
    </w:p>
    <w:p w14:paraId="2B7421F8" w14:textId="417EEDFB" w:rsidR="002A4175" w:rsidRDefault="002A4175" w:rsidP="002A4175">
      <w:pPr>
        <w:pStyle w:val="Heading2"/>
      </w:pPr>
      <w:r>
        <w:t>2.3 Ethernet Header Compression</w:t>
      </w:r>
    </w:p>
    <w:p w14:paraId="591C412E" w14:textId="77777777" w:rsidR="00105294" w:rsidRPr="00182234" w:rsidRDefault="00105294" w:rsidP="0025768B">
      <w:pPr>
        <w:rPr>
          <w:rFonts w:ascii="Arial" w:hAnsi="Arial" w:cs="Arial"/>
          <w:lang w:eastAsia="en-US"/>
        </w:rPr>
      </w:pPr>
      <w:r w:rsidRPr="00182234">
        <w:rPr>
          <w:rFonts w:ascii="Arial" w:hAnsi="Arial" w:cs="Arial"/>
          <w:lang w:eastAsia="en-US"/>
        </w:rPr>
        <w:t>One open issue was noted for Ethernet header compression:</w:t>
      </w:r>
    </w:p>
    <w:p w14:paraId="29503669" w14:textId="2BFD5901" w:rsidR="0025768B" w:rsidRPr="00182234" w:rsidRDefault="006C5F5F" w:rsidP="00105294">
      <w:pPr>
        <w:pBdr>
          <w:top w:val="single" w:sz="4" w:space="1" w:color="auto"/>
          <w:left w:val="single" w:sz="4" w:space="4" w:color="auto"/>
          <w:bottom w:val="single" w:sz="4" w:space="1" w:color="auto"/>
          <w:right w:val="single" w:sz="4" w:space="4" w:color="auto"/>
        </w:pBdr>
        <w:rPr>
          <w:rFonts w:ascii="Arial" w:hAnsi="Arial" w:cs="Arial"/>
          <w:lang w:eastAsia="en-US"/>
        </w:rPr>
      </w:pPr>
      <w:r w:rsidRPr="00182234">
        <w:rPr>
          <w:rFonts w:ascii="Arial" w:hAnsi="Arial" w:cs="Arial"/>
          <w:lang w:eastAsia="en-US"/>
        </w:rPr>
        <w:t>FFS what is the value range for maximum number of contexts signalled by the UE.</w:t>
      </w:r>
    </w:p>
    <w:p w14:paraId="314C464B" w14:textId="7DFD8638" w:rsidR="00105294" w:rsidRDefault="009D3765" w:rsidP="0025768B">
      <w:pPr>
        <w:rPr>
          <w:rFonts w:ascii="Arial" w:hAnsi="Arial" w:cs="Arial"/>
          <w:lang w:eastAsia="en-US"/>
        </w:rPr>
      </w:pPr>
      <w:r w:rsidRPr="00182234">
        <w:rPr>
          <w:rFonts w:ascii="Arial" w:hAnsi="Arial" w:cs="Arial"/>
          <w:lang w:eastAsia="en-US"/>
        </w:rPr>
        <w:t xml:space="preserve">It </w:t>
      </w:r>
      <w:r w:rsidR="000D5B5D">
        <w:rPr>
          <w:rFonts w:ascii="Arial" w:hAnsi="Arial" w:cs="Arial"/>
          <w:lang w:eastAsia="en-US"/>
        </w:rPr>
        <w:t xml:space="preserve">is </w:t>
      </w:r>
      <w:r w:rsidRPr="00182234">
        <w:rPr>
          <w:rFonts w:ascii="Arial" w:hAnsi="Arial" w:cs="Arial"/>
          <w:lang w:eastAsia="en-US"/>
        </w:rPr>
        <w:t>agreed that “UE signals the maximum number of supported EHC contexts as a capability.”</w:t>
      </w:r>
      <w:r w:rsidR="00840CD8" w:rsidRPr="00182234">
        <w:rPr>
          <w:rFonts w:ascii="Arial" w:hAnsi="Arial" w:cs="Arial"/>
          <w:lang w:eastAsia="en-US"/>
        </w:rPr>
        <w:t xml:space="preserve"> </w:t>
      </w:r>
      <w:r w:rsidR="009E6393" w:rsidRPr="00182234">
        <w:rPr>
          <w:rFonts w:ascii="Arial" w:hAnsi="Arial" w:cs="Arial"/>
          <w:lang w:eastAsia="en-US"/>
        </w:rPr>
        <w:t xml:space="preserve">Two different header formats </w:t>
      </w:r>
      <w:r w:rsidR="009E34E7">
        <w:rPr>
          <w:rFonts w:ascii="Arial" w:hAnsi="Arial" w:cs="Arial"/>
          <w:lang w:eastAsia="en-US"/>
        </w:rPr>
        <w:t xml:space="preserve">(i.e., one-byte and two-byte) </w:t>
      </w:r>
      <w:r w:rsidR="009E6393" w:rsidRPr="00182234">
        <w:rPr>
          <w:rFonts w:ascii="Arial" w:hAnsi="Arial" w:cs="Arial"/>
          <w:lang w:eastAsia="en-US"/>
        </w:rPr>
        <w:t xml:space="preserve">with </w:t>
      </w:r>
      <w:r w:rsidR="00036672" w:rsidRPr="00182234">
        <w:rPr>
          <w:rFonts w:ascii="Arial" w:hAnsi="Arial" w:cs="Arial"/>
          <w:lang w:eastAsia="en-US"/>
        </w:rPr>
        <w:t>up to 7 and 15 bit</w:t>
      </w:r>
      <w:r w:rsidR="000E2511">
        <w:rPr>
          <w:rFonts w:ascii="Arial" w:hAnsi="Arial" w:cs="Arial"/>
          <w:lang w:eastAsia="en-US"/>
        </w:rPr>
        <w:t>s</w:t>
      </w:r>
      <w:r w:rsidR="00036672" w:rsidRPr="00182234">
        <w:rPr>
          <w:rFonts w:ascii="Arial" w:hAnsi="Arial" w:cs="Arial"/>
          <w:lang w:eastAsia="en-US"/>
        </w:rPr>
        <w:t xml:space="preserve"> </w:t>
      </w:r>
      <w:r w:rsidR="00362F8D">
        <w:rPr>
          <w:rFonts w:ascii="Arial" w:hAnsi="Arial" w:cs="Arial"/>
          <w:lang w:eastAsia="en-US"/>
        </w:rPr>
        <w:t xml:space="preserve">(under discussion) </w:t>
      </w:r>
      <w:r w:rsidR="00036672" w:rsidRPr="00182234">
        <w:rPr>
          <w:rFonts w:ascii="Arial" w:hAnsi="Arial" w:cs="Arial"/>
          <w:lang w:eastAsia="en-US"/>
        </w:rPr>
        <w:t xml:space="preserve">are supported for the CID. </w:t>
      </w:r>
      <w:r w:rsidR="0068753C">
        <w:rPr>
          <w:rFonts w:ascii="Arial" w:hAnsi="Arial" w:cs="Arial"/>
          <w:lang w:eastAsia="en-US"/>
        </w:rPr>
        <w:t>The support of one-byte header</w:t>
      </w:r>
      <w:r w:rsidR="00764F8E">
        <w:rPr>
          <w:rFonts w:ascii="Arial" w:hAnsi="Arial" w:cs="Arial"/>
          <w:lang w:eastAsia="en-US"/>
        </w:rPr>
        <w:t xml:space="preserve"> should be</w:t>
      </w:r>
      <w:r w:rsidR="00E330FB">
        <w:rPr>
          <w:rFonts w:ascii="Arial" w:hAnsi="Arial" w:cs="Arial"/>
          <w:lang w:eastAsia="en-US"/>
        </w:rPr>
        <w:t xml:space="preserve"> </w:t>
      </w:r>
      <w:r w:rsidR="0068753C">
        <w:rPr>
          <w:rFonts w:ascii="Arial" w:hAnsi="Arial" w:cs="Arial"/>
          <w:lang w:eastAsia="en-US"/>
        </w:rPr>
        <w:t xml:space="preserve">mandatory, while the support of two-byte header can be indicated as </w:t>
      </w:r>
      <w:r w:rsidR="003A2A43">
        <w:rPr>
          <w:rFonts w:ascii="Arial" w:hAnsi="Arial" w:cs="Arial"/>
          <w:lang w:eastAsia="en-US"/>
        </w:rPr>
        <w:t xml:space="preserve">optional </w:t>
      </w:r>
      <w:r w:rsidR="0068753C">
        <w:rPr>
          <w:rFonts w:ascii="Arial" w:hAnsi="Arial" w:cs="Arial"/>
          <w:lang w:eastAsia="en-US"/>
        </w:rPr>
        <w:t xml:space="preserve">capability. </w:t>
      </w:r>
      <w:r w:rsidR="009E5164">
        <w:rPr>
          <w:rFonts w:ascii="Arial" w:hAnsi="Arial" w:cs="Arial"/>
          <w:lang w:eastAsia="en-US"/>
        </w:rPr>
        <w:t xml:space="preserve">In both cases, </w:t>
      </w:r>
      <w:r w:rsidR="0068753C">
        <w:rPr>
          <w:rFonts w:ascii="Arial" w:hAnsi="Arial" w:cs="Arial"/>
          <w:lang w:eastAsia="en-US"/>
        </w:rPr>
        <w:t xml:space="preserve">the maximum number of contexts </w:t>
      </w:r>
      <w:r w:rsidR="009E5164">
        <w:rPr>
          <w:rFonts w:ascii="Arial" w:hAnsi="Arial" w:cs="Arial"/>
          <w:lang w:eastAsia="en-US"/>
        </w:rPr>
        <w:t xml:space="preserve">that are supported by the UE </w:t>
      </w:r>
      <w:r w:rsidR="00A17C2C">
        <w:rPr>
          <w:rFonts w:ascii="Arial" w:hAnsi="Arial" w:cs="Arial"/>
          <w:lang w:eastAsia="en-US"/>
        </w:rPr>
        <w:t>can simply be</w:t>
      </w:r>
      <w:r w:rsidR="009E5164">
        <w:rPr>
          <w:rFonts w:ascii="Arial" w:hAnsi="Arial" w:cs="Arial"/>
          <w:lang w:eastAsia="en-US"/>
        </w:rPr>
        <w:t xml:space="preserve"> the maximum number of the addressable context</w:t>
      </w:r>
      <w:r w:rsidR="003A2A43">
        <w:rPr>
          <w:rFonts w:ascii="Arial" w:hAnsi="Arial" w:cs="Arial"/>
          <w:lang w:eastAsia="en-US"/>
        </w:rPr>
        <w:t>s</w:t>
      </w:r>
      <w:r w:rsidR="009E5164">
        <w:rPr>
          <w:rFonts w:ascii="Arial" w:hAnsi="Arial" w:cs="Arial"/>
          <w:lang w:eastAsia="en-US"/>
        </w:rPr>
        <w:t xml:space="preserve"> in its supported header size, i.e., UE shall support up-to 128 contexts if 7 bits are used for the CID, and UE shall support up-to 2^15 context</w:t>
      </w:r>
      <w:r w:rsidR="00A3401A">
        <w:rPr>
          <w:rFonts w:ascii="Arial" w:hAnsi="Arial" w:cs="Arial"/>
          <w:lang w:eastAsia="en-US"/>
        </w:rPr>
        <w:t>s</w:t>
      </w:r>
      <w:r w:rsidR="009E5164">
        <w:rPr>
          <w:rFonts w:ascii="Arial" w:hAnsi="Arial" w:cs="Arial"/>
          <w:lang w:eastAsia="en-US"/>
        </w:rPr>
        <w:t xml:space="preserve"> if it supports two-byte header and 15 bits are used for the CID</w:t>
      </w:r>
      <w:r w:rsidR="0068753C">
        <w:rPr>
          <w:rFonts w:ascii="Arial" w:hAnsi="Arial" w:cs="Arial"/>
          <w:lang w:eastAsia="en-US"/>
        </w:rPr>
        <w:t xml:space="preserve">. </w:t>
      </w:r>
      <w:r w:rsidR="00A3401A">
        <w:rPr>
          <w:rFonts w:ascii="Arial" w:hAnsi="Arial" w:cs="Arial"/>
          <w:lang w:eastAsia="en-US"/>
        </w:rPr>
        <w:t xml:space="preserve">We don’t think a finer granularity indication of the number of contexts is needed.  </w:t>
      </w:r>
    </w:p>
    <w:p w14:paraId="7D4C0B0A" w14:textId="748651AC" w:rsidR="00237BAC" w:rsidRDefault="00E95BF7" w:rsidP="00A17C2C">
      <w:pPr>
        <w:pStyle w:val="Proposal"/>
      </w:pPr>
      <w:bookmarkStart w:id="5" w:name="_Toc37356923"/>
      <w:r>
        <w:t xml:space="preserve">The </w:t>
      </w:r>
      <w:r w:rsidR="00617B59">
        <w:t>support</w:t>
      </w:r>
      <w:r>
        <w:t xml:space="preserve"> of</w:t>
      </w:r>
      <w:r w:rsidR="00617B59">
        <w:t xml:space="preserve"> one-byte header size </w:t>
      </w:r>
      <w:r>
        <w:t xml:space="preserve">is </w:t>
      </w:r>
      <w:r w:rsidR="00C24EFD">
        <w:t>mandatory and</w:t>
      </w:r>
      <w:r w:rsidR="00617B59">
        <w:t xml:space="preserve"> </w:t>
      </w:r>
      <w:r w:rsidR="00237BAC">
        <w:t>the support of two-byte header size</w:t>
      </w:r>
      <w:r w:rsidR="00CB409B">
        <w:t xml:space="preserve"> is optional with a capability indication</w:t>
      </w:r>
      <w:r w:rsidR="00237BAC">
        <w:t>.</w:t>
      </w:r>
      <w:bookmarkEnd w:id="5"/>
      <w:r w:rsidR="00237BAC">
        <w:t xml:space="preserve"> </w:t>
      </w:r>
    </w:p>
    <w:p w14:paraId="08643B97" w14:textId="58AC28CC" w:rsidR="00105294" w:rsidRPr="00237BAC" w:rsidRDefault="00A17C2C" w:rsidP="00237BAC">
      <w:pPr>
        <w:pStyle w:val="Proposal"/>
      </w:pPr>
      <w:bookmarkStart w:id="6" w:name="_Toc37356924"/>
      <w:r>
        <w:t xml:space="preserve">The </w:t>
      </w:r>
      <w:r>
        <w:rPr>
          <w:lang w:eastAsia="en-US"/>
        </w:rPr>
        <w:t xml:space="preserve">maximum number of </w:t>
      </w:r>
      <w:r w:rsidR="00BB7E22">
        <w:rPr>
          <w:lang w:eastAsia="en-US"/>
        </w:rPr>
        <w:t xml:space="preserve">the </w:t>
      </w:r>
      <w:r w:rsidR="00F93044">
        <w:rPr>
          <w:lang w:eastAsia="en-US"/>
        </w:rPr>
        <w:t xml:space="preserve">supported EHC </w:t>
      </w:r>
      <w:r>
        <w:rPr>
          <w:lang w:eastAsia="en-US"/>
        </w:rPr>
        <w:t>contexts is</w:t>
      </w:r>
      <w:r>
        <w:rPr>
          <w:lang w:eastAsia="en-US"/>
        </w:rPr>
        <w:t xml:space="preserve"> </w:t>
      </w:r>
      <w:r w:rsidR="00CB409B">
        <w:rPr>
          <w:lang w:eastAsia="en-US"/>
        </w:rPr>
        <w:t>indicated</w:t>
      </w:r>
      <w:r w:rsidR="007D3204">
        <w:rPr>
          <w:lang w:eastAsia="en-US"/>
        </w:rPr>
        <w:t xml:space="preserve"> by the support of the header size, i.e., </w:t>
      </w:r>
      <w:r w:rsidR="00617B59">
        <w:rPr>
          <w:lang w:eastAsia="en-US"/>
        </w:rPr>
        <w:t xml:space="preserve">it </w:t>
      </w:r>
      <w:r>
        <w:rPr>
          <w:lang w:eastAsia="en-US"/>
        </w:rPr>
        <w:t>equal</w:t>
      </w:r>
      <w:r w:rsidR="00617B59">
        <w:rPr>
          <w:lang w:eastAsia="en-US"/>
        </w:rPr>
        <w:t>s</w:t>
      </w:r>
      <w:r>
        <w:rPr>
          <w:lang w:eastAsia="en-US"/>
        </w:rPr>
        <w:t xml:space="preserve"> to the </w:t>
      </w:r>
      <w:r w:rsidR="00BB7E22">
        <w:rPr>
          <w:lang w:eastAsia="en-US"/>
        </w:rPr>
        <w:t xml:space="preserve">maximum </w:t>
      </w:r>
      <w:r>
        <w:rPr>
          <w:lang w:eastAsia="en-US"/>
        </w:rPr>
        <w:t>number of contexts address</w:t>
      </w:r>
      <w:bookmarkStart w:id="7" w:name="_GoBack"/>
      <w:bookmarkEnd w:id="7"/>
      <w:r>
        <w:rPr>
          <w:lang w:eastAsia="en-US"/>
        </w:rPr>
        <w:t xml:space="preserve">able in </w:t>
      </w:r>
      <w:r w:rsidR="00F93044">
        <w:rPr>
          <w:lang w:eastAsia="en-US"/>
        </w:rPr>
        <w:t xml:space="preserve">its </w:t>
      </w:r>
      <w:r w:rsidR="00BB7E22">
        <w:rPr>
          <w:lang w:eastAsia="en-US"/>
        </w:rPr>
        <w:t xml:space="preserve">supported </w:t>
      </w:r>
      <w:r>
        <w:rPr>
          <w:lang w:eastAsia="en-US"/>
        </w:rPr>
        <w:t>header</w:t>
      </w:r>
      <w:r w:rsidR="00904FC4">
        <w:rPr>
          <w:lang w:eastAsia="en-US"/>
        </w:rPr>
        <w:t xml:space="preserve"> size</w:t>
      </w:r>
      <w:r w:rsidR="00237BAC">
        <w:rPr>
          <w:lang w:eastAsia="en-US"/>
        </w:rPr>
        <w:t>.</w:t>
      </w:r>
      <w:bookmarkEnd w:id="6"/>
    </w:p>
    <w:p w14:paraId="368800F3" w14:textId="497985AB" w:rsidR="006E1C82" w:rsidRPr="00961204" w:rsidRDefault="002A587F" w:rsidP="00961204">
      <w:pPr>
        <w:pStyle w:val="Heading1"/>
      </w:pPr>
      <w:r>
        <w:t>3</w:t>
      </w:r>
      <w:r w:rsidR="00EC4447">
        <w:tab/>
      </w:r>
      <w:r w:rsidR="00C01F33" w:rsidRPr="00CE0424">
        <w:t>Conclusion</w:t>
      </w:r>
    </w:p>
    <w:p w14:paraId="1A993A1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027EB09" w14:textId="2E393FCD" w:rsidR="00A914AF"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356920" w:history="1">
        <w:r w:rsidR="00A914AF" w:rsidRPr="0060437E">
          <w:rPr>
            <w:rStyle w:val="Hyperlink"/>
            <w:noProof/>
          </w:rPr>
          <w:t>Proposal 1</w:t>
        </w:r>
        <w:r w:rsidR="00A914AF">
          <w:rPr>
            <w:rFonts w:asciiTheme="minorHAnsi" w:eastAsiaTheme="minorEastAsia" w:hAnsiTheme="minorHAnsi" w:cstheme="minorBidi"/>
            <w:b w:val="0"/>
            <w:noProof/>
            <w:sz w:val="22"/>
            <w:szCs w:val="22"/>
          </w:rPr>
          <w:tab/>
        </w:r>
        <w:r w:rsidR="00A914AF" w:rsidRPr="0060437E">
          <w:rPr>
            <w:rStyle w:val="Hyperlink"/>
            <w:noProof/>
          </w:rPr>
          <w:t>Data vs. data and SR vs. data prioritization are signalled as a single capability.</w:t>
        </w:r>
      </w:hyperlink>
    </w:p>
    <w:p w14:paraId="56709D6C" w14:textId="7E81CD16" w:rsidR="00A914AF" w:rsidRDefault="00A914AF">
      <w:pPr>
        <w:pStyle w:val="TableofFigures"/>
        <w:tabs>
          <w:tab w:val="right" w:leader="dot" w:pos="9629"/>
        </w:tabs>
        <w:rPr>
          <w:rFonts w:asciiTheme="minorHAnsi" w:eastAsiaTheme="minorEastAsia" w:hAnsiTheme="minorHAnsi" w:cstheme="minorBidi"/>
          <w:b w:val="0"/>
          <w:noProof/>
          <w:sz w:val="22"/>
          <w:szCs w:val="22"/>
        </w:rPr>
      </w:pPr>
      <w:hyperlink w:anchor="_Toc37356921" w:history="1">
        <w:r w:rsidRPr="0060437E">
          <w:rPr>
            <w:rStyle w:val="Hyperlink"/>
            <w:noProof/>
            <w:lang w:val="en-US"/>
          </w:rPr>
          <w:t>Proposal 2</w:t>
        </w:r>
        <w:r>
          <w:rPr>
            <w:rFonts w:asciiTheme="minorHAnsi" w:eastAsiaTheme="minorEastAsia" w:hAnsiTheme="minorHAnsi" w:cstheme="minorBidi"/>
            <w:b w:val="0"/>
            <w:noProof/>
            <w:sz w:val="22"/>
            <w:szCs w:val="22"/>
          </w:rPr>
          <w:tab/>
        </w:r>
        <w:r w:rsidRPr="0060437E">
          <w:rPr>
            <w:rStyle w:val="Hyperlink"/>
            <w:noProof/>
          </w:rPr>
          <w:t>LCH based prioritization can be supported without PHY prioritization</w:t>
        </w:r>
        <w:r w:rsidRPr="0060437E">
          <w:rPr>
            <w:rStyle w:val="Hyperlink"/>
            <w:noProof/>
            <w:lang w:val="en-US"/>
          </w:rPr>
          <w:t>.</w:t>
        </w:r>
      </w:hyperlink>
    </w:p>
    <w:p w14:paraId="39541A51" w14:textId="78AFE848" w:rsidR="00A914AF" w:rsidRDefault="00A914AF">
      <w:pPr>
        <w:pStyle w:val="TableofFigures"/>
        <w:tabs>
          <w:tab w:val="right" w:leader="dot" w:pos="9629"/>
        </w:tabs>
        <w:rPr>
          <w:rFonts w:asciiTheme="minorHAnsi" w:eastAsiaTheme="minorEastAsia" w:hAnsiTheme="minorHAnsi" w:cstheme="minorBidi"/>
          <w:b w:val="0"/>
          <w:noProof/>
          <w:sz w:val="22"/>
          <w:szCs w:val="22"/>
        </w:rPr>
      </w:pPr>
      <w:hyperlink w:anchor="_Toc37356922" w:history="1">
        <w:r w:rsidRPr="0060437E">
          <w:rPr>
            <w:rStyle w:val="Hyperlink"/>
            <w:noProof/>
            <w:lang w:val="en-US"/>
          </w:rPr>
          <w:t>Proposal 3</w:t>
        </w:r>
        <w:r>
          <w:rPr>
            <w:rFonts w:asciiTheme="minorHAnsi" w:eastAsiaTheme="minorEastAsia" w:hAnsiTheme="minorHAnsi" w:cstheme="minorBidi"/>
            <w:b w:val="0"/>
            <w:noProof/>
            <w:sz w:val="22"/>
            <w:szCs w:val="22"/>
          </w:rPr>
          <w:tab/>
        </w:r>
        <w:r w:rsidRPr="0060437E">
          <w:rPr>
            <w:rStyle w:val="Hyperlink"/>
            <w:noProof/>
            <w:lang w:eastAsia="en-US"/>
          </w:rPr>
          <w:t>Signalling of maximum value of Rel</w:t>
        </w:r>
        <w:r w:rsidRPr="0060437E">
          <w:rPr>
            <w:rStyle w:val="Hyperlink"/>
            <w:noProof/>
            <w:lang w:val="sv-SE" w:eastAsia="en-US"/>
          </w:rPr>
          <w:t xml:space="preserve">-16 </w:t>
        </w:r>
        <w:r w:rsidRPr="0060437E">
          <w:rPr>
            <w:rStyle w:val="Hyperlink"/>
            <w:noProof/>
            <w:lang w:eastAsia="en-US"/>
          </w:rPr>
          <w:t>SPS/CG periodicities supported is NOT needed</w:t>
        </w:r>
        <w:r w:rsidRPr="0060437E">
          <w:rPr>
            <w:rStyle w:val="Hyperlink"/>
            <w:noProof/>
            <w:lang w:val="en-US"/>
          </w:rPr>
          <w:t>.</w:t>
        </w:r>
      </w:hyperlink>
    </w:p>
    <w:p w14:paraId="6A826659" w14:textId="322BD03D" w:rsidR="00A914AF" w:rsidRDefault="00A914AF">
      <w:pPr>
        <w:pStyle w:val="TableofFigures"/>
        <w:tabs>
          <w:tab w:val="right" w:leader="dot" w:pos="9629"/>
        </w:tabs>
        <w:rPr>
          <w:rFonts w:asciiTheme="minorHAnsi" w:eastAsiaTheme="minorEastAsia" w:hAnsiTheme="minorHAnsi" w:cstheme="minorBidi"/>
          <w:b w:val="0"/>
          <w:noProof/>
          <w:sz w:val="22"/>
          <w:szCs w:val="22"/>
        </w:rPr>
      </w:pPr>
      <w:hyperlink w:anchor="_Toc37356923" w:history="1">
        <w:r w:rsidRPr="0060437E">
          <w:rPr>
            <w:rStyle w:val="Hyperlink"/>
            <w:noProof/>
          </w:rPr>
          <w:t>Proposal 4</w:t>
        </w:r>
        <w:r>
          <w:rPr>
            <w:rFonts w:asciiTheme="minorHAnsi" w:eastAsiaTheme="minorEastAsia" w:hAnsiTheme="minorHAnsi" w:cstheme="minorBidi"/>
            <w:b w:val="0"/>
            <w:noProof/>
            <w:sz w:val="22"/>
            <w:szCs w:val="22"/>
          </w:rPr>
          <w:tab/>
        </w:r>
        <w:r w:rsidRPr="0060437E">
          <w:rPr>
            <w:rStyle w:val="Hyperlink"/>
            <w:noProof/>
          </w:rPr>
          <w:t>The support of one-byte header size is mandatory and the support of two-byte header size is optional with a capability indication.</w:t>
        </w:r>
      </w:hyperlink>
    </w:p>
    <w:p w14:paraId="279D44C4" w14:textId="1FBAA9F2" w:rsidR="00A914AF" w:rsidRDefault="00A914AF">
      <w:pPr>
        <w:pStyle w:val="TableofFigures"/>
        <w:tabs>
          <w:tab w:val="right" w:leader="dot" w:pos="9629"/>
        </w:tabs>
        <w:rPr>
          <w:rFonts w:asciiTheme="minorHAnsi" w:eastAsiaTheme="minorEastAsia" w:hAnsiTheme="minorHAnsi" w:cstheme="minorBidi"/>
          <w:b w:val="0"/>
          <w:noProof/>
          <w:sz w:val="22"/>
          <w:szCs w:val="22"/>
        </w:rPr>
      </w:pPr>
      <w:hyperlink w:anchor="_Toc37356924" w:history="1">
        <w:r w:rsidRPr="0060437E">
          <w:rPr>
            <w:rStyle w:val="Hyperlink"/>
            <w:noProof/>
          </w:rPr>
          <w:t>Proposal 5</w:t>
        </w:r>
        <w:r>
          <w:rPr>
            <w:rFonts w:asciiTheme="minorHAnsi" w:eastAsiaTheme="minorEastAsia" w:hAnsiTheme="minorHAnsi" w:cstheme="minorBidi"/>
            <w:b w:val="0"/>
            <w:noProof/>
            <w:sz w:val="22"/>
            <w:szCs w:val="22"/>
          </w:rPr>
          <w:tab/>
        </w:r>
        <w:r w:rsidRPr="0060437E">
          <w:rPr>
            <w:rStyle w:val="Hyperlink"/>
            <w:noProof/>
          </w:rPr>
          <w:t xml:space="preserve">The </w:t>
        </w:r>
        <w:r w:rsidRPr="0060437E">
          <w:rPr>
            <w:rStyle w:val="Hyperlink"/>
            <w:noProof/>
            <w:lang w:eastAsia="en-US"/>
          </w:rPr>
          <w:t>maximum number of the supported EHC contexts is indicated by the support of the header size, i.e., it equals to the maximum number of contexts addressable in its supported header size.</w:t>
        </w:r>
      </w:hyperlink>
    </w:p>
    <w:p w14:paraId="0EFBC115" w14:textId="6A4A5190" w:rsidR="006E1C82" w:rsidRPr="00CE0424" w:rsidRDefault="006E1C82" w:rsidP="006E1C82">
      <w:pPr>
        <w:pStyle w:val="BodyText"/>
        <w:rPr>
          <w:b/>
          <w:bCs/>
        </w:rPr>
      </w:pPr>
      <w:r>
        <w:rPr>
          <w:b/>
          <w:bCs/>
          <w:lang w:val="en-US"/>
        </w:rPr>
        <w:fldChar w:fldCharType="end"/>
      </w:r>
      <w:bookmarkStart w:id="8" w:name="_In-sequence_SDU_delivery"/>
      <w:bookmarkEnd w:id="8"/>
    </w:p>
    <w:p w14:paraId="7B485C79" w14:textId="52799CFE" w:rsidR="00F507D1" w:rsidRPr="00CE0424" w:rsidRDefault="002A587F" w:rsidP="00CE0424">
      <w:pPr>
        <w:pStyle w:val="Heading1"/>
      </w:pPr>
      <w:r>
        <w:t>4</w:t>
      </w:r>
      <w:r w:rsidR="00EC4447">
        <w:tab/>
      </w:r>
      <w:r w:rsidR="00F507D1" w:rsidRPr="00CE0424">
        <w:t>References</w:t>
      </w:r>
    </w:p>
    <w:p w14:paraId="3CD4750F" w14:textId="77404297" w:rsidR="00FF0BF7" w:rsidRPr="00443376" w:rsidRDefault="00CF2DBF" w:rsidP="00F9770E">
      <w:pPr>
        <w:pStyle w:val="Reference"/>
      </w:pPr>
      <w:bookmarkStart w:id="9" w:name="_Ref28854711"/>
      <w:bookmarkStart w:id="10" w:name="_Ref37144191"/>
      <w:bookmarkStart w:id="11" w:name="_Ref174151459"/>
      <w:bookmarkStart w:id="12" w:name="_Ref189809556"/>
      <w:r w:rsidRPr="00CF2DBF">
        <w:rPr>
          <w:noProof/>
        </w:rPr>
        <w:t>R2-20027</w:t>
      </w:r>
      <w:r>
        <w:rPr>
          <w:noProof/>
        </w:rPr>
        <w:t>10</w:t>
      </w:r>
      <w:r w:rsidR="00185F0C">
        <w:rPr>
          <w:noProof/>
        </w:rPr>
        <w:t>,</w:t>
      </w:r>
      <w:bookmarkEnd w:id="9"/>
      <w:r w:rsidR="00F867E1">
        <w:rPr>
          <w:noProof/>
        </w:rPr>
        <w:t xml:space="preserve"> </w:t>
      </w:r>
      <w:r w:rsidR="00F867E1" w:rsidRPr="00F867E1">
        <w:rPr>
          <w:noProof/>
        </w:rPr>
        <w:t>Remaining issues on intra-UE prioritization and multiplexing</w:t>
      </w:r>
      <w:r w:rsidR="00F867E1">
        <w:rPr>
          <w:noProof/>
        </w:rPr>
        <w:t>, R2-109bis-e, Ericsson</w:t>
      </w:r>
      <w:bookmarkEnd w:id="10"/>
      <w:bookmarkEnd w:id="11"/>
      <w:bookmarkEnd w:id="12"/>
    </w:p>
    <w:sectPr w:rsidR="00FF0BF7" w:rsidRPr="0044337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E28CE" w14:textId="77777777" w:rsidR="00035BEC" w:rsidRDefault="00035BEC">
      <w:r>
        <w:separator/>
      </w:r>
    </w:p>
  </w:endnote>
  <w:endnote w:type="continuationSeparator" w:id="0">
    <w:p w14:paraId="5C54D820" w14:textId="77777777" w:rsidR="00035BEC" w:rsidRDefault="00035BEC">
      <w:r>
        <w:continuationSeparator/>
      </w:r>
    </w:p>
  </w:endnote>
  <w:endnote w:type="continuationNotice" w:id="1">
    <w:p w14:paraId="5A969ED4" w14:textId="77777777" w:rsidR="00035BEC" w:rsidRDefault="00035B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8787A" w14:textId="77777777" w:rsidR="00035BEC" w:rsidRDefault="00035BEC">
      <w:r>
        <w:separator/>
      </w:r>
    </w:p>
  </w:footnote>
  <w:footnote w:type="continuationSeparator" w:id="0">
    <w:p w14:paraId="160C2726" w14:textId="77777777" w:rsidR="00035BEC" w:rsidRDefault="00035BEC">
      <w:r>
        <w:continuationSeparator/>
      </w:r>
    </w:p>
  </w:footnote>
  <w:footnote w:type="continuationNotice" w:id="1">
    <w:p w14:paraId="0BFD58A3" w14:textId="77777777" w:rsidR="00035BEC" w:rsidRDefault="00035B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3AA4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A668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0968A7"/>
    <w:multiLevelType w:val="hybridMultilevel"/>
    <w:tmpl w:val="D7CC42D2"/>
    <w:lvl w:ilvl="0" w:tplc="66681AE2">
      <w:start w:val="2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F8DA528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5"/>
  </w:num>
  <w:num w:numId="7">
    <w:abstractNumId w:val="21"/>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2"/>
  </w:num>
  <w:num w:numId="17">
    <w:abstractNumId w:val="5"/>
  </w:num>
  <w:num w:numId="18">
    <w:abstractNumId w:val="7"/>
  </w:num>
  <w:num w:numId="19">
    <w:abstractNumId w:val="4"/>
  </w:num>
  <w:num w:numId="20">
    <w:abstractNumId w:val="25"/>
  </w:num>
  <w:num w:numId="21">
    <w:abstractNumId w:val="11"/>
  </w:num>
  <w:num w:numId="22">
    <w:abstractNumId w:val="23"/>
  </w:num>
  <w:num w:numId="23">
    <w:abstractNumId w:val="24"/>
  </w:num>
  <w:num w:numId="24">
    <w:abstractNumId w:val="6"/>
  </w:num>
  <w:num w:numId="25">
    <w:abstractNumId w:val="16"/>
  </w:num>
  <w:num w:numId="26">
    <w:abstractNumId w:val="12"/>
  </w:num>
  <w:num w:numId="27">
    <w:abstractNumId w:val="12"/>
  </w:num>
  <w:num w:numId="2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2A37"/>
    <w:rsid w:val="00003A21"/>
    <w:rsid w:val="0000564C"/>
    <w:rsid w:val="000059AC"/>
    <w:rsid w:val="00006446"/>
    <w:rsid w:val="00006896"/>
    <w:rsid w:val="00007CDC"/>
    <w:rsid w:val="00010D13"/>
    <w:rsid w:val="00011B28"/>
    <w:rsid w:val="000156B8"/>
    <w:rsid w:val="00015D15"/>
    <w:rsid w:val="00020453"/>
    <w:rsid w:val="00022A90"/>
    <w:rsid w:val="00022C05"/>
    <w:rsid w:val="0002564D"/>
    <w:rsid w:val="00025ECA"/>
    <w:rsid w:val="000325B8"/>
    <w:rsid w:val="00034C15"/>
    <w:rsid w:val="00035BEC"/>
    <w:rsid w:val="00036672"/>
    <w:rsid w:val="00036BA1"/>
    <w:rsid w:val="000370A6"/>
    <w:rsid w:val="000422E2"/>
    <w:rsid w:val="00042F22"/>
    <w:rsid w:val="000444EF"/>
    <w:rsid w:val="000447A2"/>
    <w:rsid w:val="00047851"/>
    <w:rsid w:val="00052A07"/>
    <w:rsid w:val="00052D85"/>
    <w:rsid w:val="00053309"/>
    <w:rsid w:val="000534E3"/>
    <w:rsid w:val="0005606A"/>
    <w:rsid w:val="00057117"/>
    <w:rsid w:val="000616E7"/>
    <w:rsid w:val="0006487E"/>
    <w:rsid w:val="00065E1A"/>
    <w:rsid w:val="000668C9"/>
    <w:rsid w:val="000700D9"/>
    <w:rsid w:val="0007170A"/>
    <w:rsid w:val="00072002"/>
    <w:rsid w:val="000742AC"/>
    <w:rsid w:val="00077E5F"/>
    <w:rsid w:val="0008036A"/>
    <w:rsid w:val="0008069D"/>
    <w:rsid w:val="00081AE6"/>
    <w:rsid w:val="000855EB"/>
    <w:rsid w:val="00085B52"/>
    <w:rsid w:val="000866F2"/>
    <w:rsid w:val="0009009F"/>
    <w:rsid w:val="00090284"/>
    <w:rsid w:val="00090D81"/>
    <w:rsid w:val="00091557"/>
    <w:rsid w:val="000924C1"/>
    <w:rsid w:val="000924F0"/>
    <w:rsid w:val="00093474"/>
    <w:rsid w:val="0009510F"/>
    <w:rsid w:val="000A1B7B"/>
    <w:rsid w:val="000A2DF0"/>
    <w:rsid w:val="000A459E"/>
    <w:rsid w:val="000A56F2"/>
    <w:rsid w:val="000A5FF8"/>
    <w:rsid w:val="000A667B"/>
    <w:rsid w:val="000B2563"/>
    <w:rsid w:val="000B2719"/>
    <w:rsid w:val="000B2845"/>
    <w:rsid w:val="000B3A8F"/>
    <w:rsid w:val="000B4AB9"/>
    <w:rsid w:val="000B58C3"/>
    <w:rsid w:val="000B61E9"/>
    <w:rsid w:val="000C165A"/>
    <w:rsid w:val="000C2622"/>
    <w:rsid w:val="000C2E19"/>
    <w:rsid w:val="000C30D4"/>
    <w:rsid w:val="000C67C7"/>
    <w:rsid w:val="000D0AF0"/>
    <w:rsid w:val="000D0D07"/>
    <w:rsid w:val="000D2F7D"/>
    <w:rsid w:val="000D4797"/>
    <w:rsid w:val="000D5B5D"/>
    <w:rsid w:val="000E0312"/>
    <w:rsid w:val="000E0527"/>
    <w:rsid w:val="000E189D"/>
    <w:rsid w:val="000E19E1"/>
    <w:rsid w:val="000E1E6F"/>
    <w:rsid w:val="000E1E92"/>
    <w:rsid w:val="000E2511"/>
    <w:rsid w:val="000E5A91"/>
    <w:rsid w:val="000F06D6"/>
    <w:rsid w:val="000F0EB1"/>
    <w:rsid w:val="000F1106"/>
    <w:rsid w:val="000F3BE9"/>
    <w:rsid w:val="000F3F6C"/>
    <w:rsid w:val="000F5BAB"/>
    <w:rsid w:val="000F6DF3"/>
    <w:rsid w:val="001005FF"/>
    <w:rsid w:val="00105294"/>
    <w:rsid w:val="001053AF"/>
    <w:rsid w:val="001062FB"/>
    <w:rsid w:val="001063E6"/>
    <w:rsid w:val="001101E8"/>
    <w:rsid w:val="001124F9"/>
    <w:rsid w:val="00113CF4"/>
    <w:rsid w:val="001153EA"/>
    <w:rsid w:val="00115643"/>
    <w:rsid w:val="00115E03"/>
    <w:rsid w:val="00116765"/>
    <w:rsid w:val="00117F2F"/>
    <w:rsid w:val="00120212"/>
    <w:rsid w:val="0012084B"/>
    <w:rsid w:val="001219F5"/>
    <w:rsid w:val="00121A20"/>
    <w:rsid w:val="00122733"/>
    <w:rsid w:val="0012377F"/>
    <w:rsid w:val="00124314"/>
    <w:rsid w:val="00126758"/>
    <w:rsid w:val="00126B4A"/>
    <w:rsid w:val="00132581"/>
    <w:rsid w:val="00132FD0"/>
    <w:rsid w:val="00133C36"/>
    <w:rsid w:val="0013415F"/>
    <w:rsid w:val="001344C0"/>
    <w:rsid w:val="001346FA"/>
    <w:rsid w:val="00135252"/>
    <w:rsid w:val="00137878"/>
    <w:rsid w:val="00137AB5"/>
    <w:rsid w:val="00137F0B"/>
    <w:rsid w:val="00140B97"/>
    <w:rsid w:val="00142B96"/>
    <w:rsid w:val="00143F0F"/>
    <w:rsid w:val="001473D5"/>
    <w:rsid w:val="00147CA6"/>
    <w:rsid w:val="00150131"/>
    <w:rsid w:val="00151E23"/>
    <w:rsid w:val="001526E0"/>
    <w:rsid w:val="001551B5"/>
    <w:rsid w:val="00160CAE"/>
    <w:rsid w:val="001613AC"/>
    <w:rsid w:val="001659C1"/>
    <w:rsid w:val="00172AE4"/>
    <w:rsid w:val="00172D6D"/>
    <w:rsid w:val="00173A8E"/>
    <w:rsid w:val="0017502C"/>
    <w:rsid w:val="0018143F"/>
    <w:rsid w:val="00181FF8"/>
    <w:rsid w:val="00182234"/>
    <w:rsid w:val="00185F0C"/>
    <w:rsid w:val="00187FCD"/>
    <w:rsid w:val="00190AC1"/>
    <w:rsid w:val="00192FB7"/>
    <w:rsid w:val="0019341A"/>
    <w:rsid w:val="00193ED3"/>
    <w:rsid w:val="00194C09"/>
    <w:rsid w:val="00197DF9"/>
    <w:rsid w:val="001A1987"/>
    <w:rsid w:val="001A2564"/>
    <w:rsid w:val="001A6173"/>
    <w:rsid w:val="001A6CBA"/>
    <w:rsid w:val="001B0D97"/>
    <w:rsid w:val="001B4DC3"/>
    <w:rsid w:val="001B5A5D"/>
    <w:rsid w:val="001B7D4E"/>
    <w:rsid w:val="001C09B9"/>
    <w:rsid w:val="001C1CE5"/>
    <w:rsid w:val="001C3D2A"/>
    <w:rsid w:val="001D5007"/>
    <w:rsid w:val="001D51BA"/>
    <w:rsid w:val="001D53E7"/>
    <w:rsid w:val="001D55D0"/>
    <w:rsid w:val="001D6342"/>
    <w:rsid w:val="001D6D53"/>
    <w:rsid w:val="001D7324"/>
    <w:rsid w:val="001D7497"/>
    <w:rsid w:val="001E22B9"/>
    <w:rsid w:val="001E58E2"/>
    <w:rsid w:val="001E7AED"/>
    <w:rsid w:val="001E7BFE"/>
    <w:rsid w:val="001F3916"/>
    <w:rsid w:val="001F54C5"/>
    <w:rsid w:val="001F662C"/>
    <w:rsid w:val="001F7074"/>
    <w:rsid w:val="00200490"/>
    <w:rsid w:val="00201F3A"/>
    <w:rsid w:val="00203F96"/>
    <w:rsid w:val="002069B2"/>
    <w:rsid w:val="00207FA3"/>
    <w:rsid w:val="00213457"/>
    <w:rsid w:val="00213CAA"/>
    <w:rsid w:val="0021423A"/>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37BAC"/>
    <w:rsid w:val="00241559"/>
    <w:rsid w:val="002435B3"/>
    <w:rsid w:val="002458EB"/>
    <w:rsid w:val="002500C8"/>
    <w:rsid w:val="00250C35"/>
    <w:rsid w:val="00255AC9"/>
    <w:rsid w:val="00257543"/>
    <w:rsid w:val="0025768B"/>
    <w:rsid w:val="002617E7"/>
    <w:rsid w:val="00264228"/>
    <w:rsid w:val="00264334"/>
    <w:rsid w:val="0026473E"/>
    <w:rsid w:val="00266214"/>
    <w:rsid w:val="0026672A"/>
    <w:rsid w:val="00267C83"/>
    <w:rsid w:val="00270733"/>
    <w:rsid w:val="0027144F"/>
    <w:rsid w:val="00271813"/>
    <w:rsid w:val="00271F3A"/>
    <w:rsid w:val="00273278"/>
    <w:rsid w:val="002737F4"/>
    <w:rsid w:val="002743A0"/>
    <w:rsid w:val="00275440"/>
    <w:rsid w:val="00276505"/>
    <w:rsid w:val="002805F5"/>
    <w:rsid w:val="00280751"/>
    <w:rsid w:val="0028280A"/>
    <w:rsid w:val="00286ACD"/>
    <w:rsid w:val="00287838"/>
    <w:rsid w:val="00290557"/>
    <w:rsid w:val="002907B5"/>
    <w:rsid w:val="00292EB7"/>
    <w:rsid w:val="002935B4"/>
    <w:rsid w:val="00293F51"/>
    <w:rsid w:val="00296227"/>
    <w:rsid w:val="00296F44"/>
    <w:rsid w:val="0029777D"/>
    <w:rsid w:val="002A055E"/>
    <w:rsid w:val="002A1D4E"/>
    <w:rsid w:val="002A2869"/>
    <w:rsid w:val="002A3B19"/>
    <w:rsid w:val="002A4175"/>
    <w:rsid w:val="002A587F"/>
    <w:rsid w:val="002A5A07"/>
    <w:rsid w:val="002B24D6"/>
    <w:rsid w:val="002B3C58"/>
    <w:rsid w:val="002B4FF4"/>
    <w:rsid w:val="002B505D"/>
    <w:rsid w:val="002C06AD"/>
    <w:rsid w:val="002C41E6"/>
    <w:rsid w:val="002C7B8B"/>
    <w:rsid w:val="002D071A"/>
    <w:rsid w:val="002D34B2"/>
    <w:rsid w:val="002D48B0"/>
    <w:rsid w:val="002D5B37"/>
    <w:rsid w:val="002D7637"/>
    <w:rsid w:val="002E17F2"/>
    <w:rsid w:val="002E6A75"/>
    <w:rsid w:val="002E7CAE"/>
    <w:rsid w:val="002E7D57"/>
    <w:rsid w:val="002F2771"/>
    <w:rsid w:val="002F3669"/>
    <w:rsid w:val="002F37A9"/>
    <w:rsid w:val="002F7662"/>
    <w:rsid w:val="00301CE6"/>
    <w:rsid w:val="0030256B"/>
    <w:rsid w:val="00304731"/>
    <w:rsid w:val="0030501F"/>
    <w:rsid w:val="003055B2"/>
    <w:rsid w:val="00307BA1"/>
    <w:rsid w:val="00311702"/>
    <w:rsid w:val="00311897"/>
    <w:rsid w:val="00311E82"/>
    <w:rsid w:val="00313FD6"/>
    <w:rsid w:val="003143BD"/>
    <w:rsid w:val="00315363"/>
    <w:rsid w:val="003203ED"/>
    <w:rsid w:val="00322C9F"/>
    <w:rsid w:val="00324D23"/>
    <w:rsid w:val="00331751"/>
    <w:rsid w:val="003342CA"/>
    <w:rsid w:val="00334579"/>
    <w:rsid w:val="00335858"/>
    <w:rsid w:val="00336BDA"/>
    <w:rsid w:val="00342BD7"/>
    <w:rsid w:val="00346DB5"/>
    <w:rsid w:val="003477B1"/>
    <w:rsid w:val="003478FC"/>
    <w:rsid w:val="003565BA"/>
    <w:rsid w:val="00357380"/>
    <w:rsid w:val="003602D9"/>
    <w:rsid w:val="003604CE"/>
    <w:rsid w:val="00362F8D"/>
    <w:rsid w:val="003649AF"/>
    <w:rsid w:val="00365B0F"/>
    <w:rsid w:val="003707B4"/>
    <w:rsid w:val="00370E47"/>
    <w:rsid w:val="003742AC"/>
    <w:rsid w:val="00377CE1"/>
    <w:rsid w:val="0038005A"/>
    <w:rsid w:val="00380076"/>
    <w:rsid w:val="00382A67"/>
    <w:rsid w:val="00385BF0"/>
    <w:rsid w:val="00386113"/>
    <w:rsid w:val="003939FF"/>
    <w:rsid w:val="00394425"/>
    <w:rsid w:val="00396627"/>
    <w:rsid w:val="003A2223"/>
    <w:rsid w:val="003A2A0F"/>
    <w:rsid w:val="003A2A43"/>
    <w:rsid w:val="003A3389"/>
    <w:rsid w:val="003A45A1"/>
    <w:rsid w:val="003A4C72"/>
    <w:rsid w:val="003A5B0A"/>
    <w:rsid w:val="003A6BAC"/>
    <w:rsid w:val="003A70A4"/>
    <w:rsid w:val="003A7EF3"/>
    <w:rsid w:val="003B10AB"/>
    <w:rsid w:val="003B159C"/>
    <w:rsid w:val="003B1BE8"/>
    <w:rsid w:val="003B1C23"/>
    <w:rsid w:val="003B369F"/>
    <w:rsid w:val="003B36A3"/>
    <w:rsid w:val="003B64BB"/>
    <w:rsid w:val="003B7FE5"/>
    <w:rsid w:val="003C11C8"/>
    <w:rsid w:val="003C2702"/>
    <w:rsid w:val="003C7806"/>
    <w:rsid w:val="003D0D5D"/>
    <w:rsid w:val="003D109F"/>
    <w:rsid w:val="003D2478"/>
    <w:rsid w:val="003D3C45"/>
    <w:rsid w:val="003D5B1F"/>
    <w:rsid w:val="003E15FA"/>
    <w:rsid w:val="003E256E"/>
    <w:rsid w:val="003E53A3"/>
    <w:rsid w:val="003E55E4"/>
    <w:rsid w:val="003E6AF9"/>
    <w:rsid w:val="003E72F7"/>
    <w:rsid w:val="003E74E3"/>
    <w:rsid w:val="003E75DC"/>
    <w:rsid w:val="003F05C7"/>
    <w:rsid w:val="003F28D9"/>
    <w:rsid w:val="003F2CD4"/>
    <w:rsid w:val="003F31CF"/>
    <w:rsid w:val="003F6BBE"/>
    <w:rsid w:val="003F76AC"/>
    <w:rsid w:val="003F77E5"/>
    <w:rsid w:val="003F7FCE"/>
    <w:rsid w:val="004000E8"/>
    <w:rsid w:val="00401895"/>
    <w:rsid w:val="00401C03"/>
    <w:rsid w:val="00402E2B"/>
    <w:rsid w:val="00404365"/>
    <w:rsid w:val="0040512B"/>
    <w:rsid w:val="00405CA5"/>
    <w:rsid w:val="00407CD3"/>
    <w:rsid w:val="00410134"/>
    <w:rsid w:val="00410B72"/>
    <w:rsid w:val="00410F18"/>
    <w:rsid w:val="0041263E"/>
    <w:rsid w:val="00413AAC"/>
    <w:rsid w:val="00413E92"/>
    <w:rsid w:val="00421105"/>
    <w:rsid w:val="00422AA4"/>
    <w:rsid w:val="00423CF5"/>
    <w:rsid w:val="004242F4"/>
    <w:rsid w:val="00427248"/>
    <w:rsid w:val="0043064A"/>
    <w:rsid w:val="00431933"/>
    <w:rsid w:val="004337D7"/>
    <w:rsid w:val="00437083"/>
    <w:rsid w:val="004370B6"/>
    <w:rsid w:val="00437447"/>
    <w:rsid w:val="00441A92"/>
    <w:rsid w:val="00442526"/>
    <w:rsid w:val="004431DC"/>
    <w:rsid w:val="00443376"/>
    <w:rsid w:val="00444F56"/>
    <w:rsid w:val="0044556E"/>
    <w:rsid w:val="00446488"/>
    <w:rsid w:val="00450210"/>
    <w:rsid w:val="004517AA"/>
    <w:rsid w:val="00451FF4"/>
    <w:rsid w:val="00452CAC"/>
    <w:rsid w:val="00453010"/>
    <w:rsid w:val="004541ED"/>
    <w:rsid w:val="00454868"/>
    <w:rsid w:val="0045525A"/>
    <w:rsid w:val="00457565"/>
    <w:rsid w:val="00457B46"/>
    <w:rsid w:val="00457B71"/>
    <w:rsid w:val="004610B6"/>
    <w:rsid w:val="004651F2"/>
    <w:rsid w:val="004664B6"/>
    <w:rsid w:val="004669E2"/>
    <w:rsid w:val="00470C31"/>
    <w:rsid w:val="00471DE0"/>
    <w:rsid w:val="004734D0"/>
    <w:rsid w:val="0047556B"/>
    <w:rsid w:val="00477768"/>
    <w:rsid w:val="0048270E"/>
    <w:rsid w:val="00483D20"/>
    <w:rsid w:val="00492BC5"/>
    <w:rsid w:val="004961B5"/>
    <w:rsid w:val="004964F1"/>
    <w:rsid w:val="004A16BC"/>
    <w:rsid w:val="004A2B94"/>
    <w:rsid w:val="004A2D54"/>
    <w:rsid w:val="004B1219"/>
    <w:rsid w:val="004B4ADE"/>
    <w:rsid w:val="004B6F6A"/>
    <w:rsid w:val="004B7C0C"/>
    <w:rsid w:val="004C3898"/>
    <w:rsid w:val="004C3DC9"/>
    <w:rsid w:val="004D02FD"/>
    <w:rsid w:val="004D36B1"/>
    <w:rsid w:val="004D7EBD"/>
    <w:rsid w:val="004E2680"/>
    <w:rsid w:val="004E28F9"/>
    <w:rsid w:val="004E462E"/>
    <w:rsid w:val="004E494A"/>
    <w:rsid w:val="004E56DC"/>
    <w:rsid w:val="004E76F4"/>
    <w:rsid w:val="004F0B4E"/>
    <w:rsid w:val="004F0B6C"/>
    <w:rsid w:val="004F2078"/>
    <w:rsid w:val="004F212E"/>
    <w:rsid w:val="004F2250"/>
    <w:rsid w:val="004F32E0"/>
    <w:rsid w:val="004F4DA3"/>
    <w:rsid w:val="004F5579"/>
    <w:rsid w:val="004F6E9E"/>
    <w:rsid w:val="0050315F"/>
    <w:rsid w:val="00506557"/>
    <w:rsid w:val="0050677A"/>
    <w:rsid w:val="005108D8"/>
    <w:rsid w:val="005116F9"/>
    <w:rsid w:val="00513A6D"/>
    <w:rsid w:val="005153A7"/>
    <w:rsid w:val="0051601D"/>
    <w:rsid w:val="00520734"/>
    <w:rsid w:val="005219CF"/>
    <w:rsid w:val="00532145"/>
    <w:rsid w:val="00534B59"/>
    <w:rsid w:val="00536759"/>
    <w:rsid w:val="00537C62"/>
    <w:rsid w:val="00546970"/>
    <w:rsid w:val="00546E15"/>
    <w:rsid w:val="005543BC"/>
    <w:rsid w:val="00554E19"/>
    <w:rsid w:val="00556601"/>
    <w:rsid w:val="00557FB0"/>
    <w:rsid w:val="0056121F"/>
    <w:rsid w:val="00570421"/>
    <w:rsid w:val="00570EA8"/>
    <w:rsid w:val="00572505"/>
    <w:rsid w:val="00582809"/>
    <w:rsid w:val="00586C66"/>
    <w:rsid w:val="0058798C"/>
    <w:rsid w:val="005900FA"/>
    <w:rsid w:val="00591B66"/>
    <w:rsid w:val="005935A4"/>
    <w:rsid w:val="005948C2"/>
    <w:rsid w:val="00595291"/>
    <w:rsid w:val="00595DCA"/>
    <w:rsid w:val="0059779B"/>
    <w:rsid w:val="005A209A"/>
    <w:rsid w:val="005A605D"/>
    <w:rsid w:val="005A662D"/>
    <w:rsid w:val="005B006D"/>
    <w:rsid w:val="005B1409"/>
    <w:rsid w:val="005B35D7"/>
    <w:rsid w:val="005B392A"/>
    <w:rsid w:val="005B3AA3"/>
    <w:rsid w:val="005B6171"/>
    <w:rsid w:val="005B6F83"/>
    <w:rsid w:val="005C3B27"/>
    <w:rsid w:val="005C3FE1"/>
    <w:rsid w:val="005C644B"/>
    <w:rsid w:val="005C74FB"/>
    <w:rsid w:val="005D1602"/>
    <w:rsid w:val="005D17E6"/>
    <w:rsid w:val="005E385F"/>
    <w:rsid w:val="005E4441"/>
    <w:rsid w:val="005E45B5"/>
    <w:rsid w:val="005E4A08"/>
    <w:rsid w:val="005E5B81"/>
    <w:rsid w:val="005F2CB1"/>
    <w:rsid w:val="005F3025"/>
    <w:rsid w:val="005F5D2F"/>
    <w:rsid w:val="005F618C"/>
    <w:rsid w:val="005F6508"/>
    <w:rsid w:val="005F70BD"/>
    <w:rsid w:val="0060022B"/>
    <w:rsid w:val="00601FF5"/>
    <w:rsid w:val="0060283C"/>
    <w:rsid w:val="00604F14"/>
    <w:rsid w:val="00610470"/>
    <w:rsid w:val="00611B83"/>
    <w:rsid w:val="00613257"/>
    <w:rsid w:val="00617B59"/>
    <w:rsid w:val="00620A71"/>
    <w:rsid w:val="00620D80"/>
    <w:rsid w:val="006215C4"/>
    <w:rsid w:val="006234A6"/>
    <w:rsid w:val="006244E0"/>
    <w:rsid w:val="00630001"/>
    <w:rsid w:val="006311B3"/>
    <w:rsid w:val="0063284C"/>
    <w:rsid w:val="00633B1A"/>
    <w:rsid w:val="00634A41"/>
    <w:rsid w:val="00634AEA"/>
    <w:rsid w:val="00636398"/>
    <w:rsid w:val="006368D3"/>
    <w:rsid w:val="006377EC"/>
    <w:rsid w:val="00641471"/>
    <w:rsid w:val="0064151F"/>
    <w:rsid w:val="00641533"/>
    <w:rsid w:val="0064208D"/>
    <w:rsid w:val="00643356"/>
    <w:rsid w:val="00643475"/>
    <w:rsid w:val="0064396A"/>
    <w:rsid w:val="00643B35"/>
    <w:rsid w:val="0064624E"/>
    <w:rsid w:val="0065005D"/>
    <w:rsid w:val="00650AB9"/>
    <w:rsid w:val="00655733"/>
    <w:rsid w:val="00655ACD"/>
    <w:rsid w:val="00655D76"/>
    <w:rsid w:val="00656A92"/>
    <w:rsid w:val="00656DDE"/>
    <w:rsid w:val="0066011D"/>
    <w:rsid w:val="006607C0"/>
    <w:rsid w:val="006613A6"/>
    <w:rsid w:val="006627A2"/>
    <w:rsid w:val="006634E6"/>
    <w:rsid w:val="006655EE"/>
    <w:rsid w:val="00667EE7"/>
    <w:rsid w:val="00670922"/>
    <w:rsid w:val="00670BE1"/>
    <w:rsid w:val="0067218F"/>
    <w:rsid w:val="00672838"/>
    <w:rsid w:val="006741F2"/>
    <w:rsid w:val="00674CC3"/>
    <w:rsid w:val="00674F66"/>
    <w:rsid w:val="00675C72"/>
    <w:rsid w:val="006771F9"/>
    <w:rsid w:val="006776D7"/>
    <w:rsid w:val="00681003"/>
    <w:rsid w:val="006817C9"/>
    <w:rsid w:val="00681D02"/>
    <w:rsid w:val="00683ECE"/>
    <w:rsid w:val="0068753C"/>
    <w:rsid w:val="006957A1"/>
    <w:rsid w:val="00695FC2"/>
    <w:rsid w:val="00696949"/>
    <w:rsid w:val="00697052"/>
    <w:rsid w:val="006A46FB"/>
    <w:rsid w:val="006A5E28"/>
    <w:rsid w:val="006A697B"/>
    <w:rsid w:val="006A7AFF"/>
    <w:rsid w:val="006B1816"/>
    <w:rsid w:val="006B2099"/>
    <w:rsid w:val="006B41FE"/>
    <w:rsid w:val="006B50CF"/>
    <w:rsid w:val="006C03B8"/>
    <w:rsid w:val="006C1204"/>
    <w:rsid w:val="006C5EC9"/>
    <w:rsid w:val="006C5F5F"/>
    <w:rsid w:val="006C6059"/>
    <w:rsid w:val="006C6965"/>
    <w:rsid w:val="006C7522"/>
    <w:rsid w:val="006D6F08"/>
    <w:rsid w:val="006E052D"/>
    <w:rsid w:val="006E062C"/>
    <w:rsid w:val="006E1C82"/>
    <w:rsid w:val="006E28B7"/>
    <w:rsid w:val="006E2A9B"/>
    <w:rsid w:val="006E3310"/>
    <w:rsid w:val="006E4E39"/>
    <w:rsid w:val="006E565E"/>
    <w:rsid w:val="006E673D"/>
    <w:rsid w:val="006E7D3B"/>
    <w:rsid w:val="006F1B70"/>
    <w:rsid w:val="006F32EF"/>
    <w:rsid w:val="006F341D"/>
    <w:rsid w:val="006F3CDE"/>
    <w:rsid w:val="006F3F67"/>
    <w:rsid w:val="006F58D4"/>
    <w:rsid w:val="006F6582"/>
    <w:rsid w:val="007006D1"/>
    <w:rsid w:val="00700CF3"/>
    <w:rsid w:val="0070246D"/>
    <w:rsid w:val="0070346E"/>
    <w:rsid w:val="00704EDB"/>
    <w:rsid w:val="00706101"/>
    <w:rsid w:val="00707072"/>
    <w:rsid w:val="00707D61"/>
    <w:rsid w:val="00712287"/>
    <w:rsid w:val="00712772"/>
    <w:rsid w:val="007148D3"/>
    <w:rsid w:val="00714B90"/>
    <w:rsid w:val="00715B9A"/>
    <w:rsid w:val="0072238E"/>
    <w:rsid w:val="00722652"/>
    <w:rsid w:val="00724E7F"/>
    <w:rsid w:val="007257D0"/>
    <w:rsid w:val="00726EA6"/>
    <w:rsid w:val="00727208"/>
    <w:rsid w:val="00727680"/>
    <w:rsid w:val="00731136"/>
    <w:rsid w:val="0073432F"/>
    <w:rsid w:val="007348B1"/>
    <w:rsid w:val="007362A6"/>
    <w:rsid w:val="00736D7D"/>
    <w:rsid w:val="00740E58"/>
    <w:rsid w:val="00742045"/>
    <w:rsid w:val="007445A0"/>
    <w:rsid w:val="0074524B"/>
    <w:rsid w:val="00747D8B"/>
    <w:rsid w:val="00751228"/>
    <w:rsid w:val="00751470"/>
    <w:rsid w:val="007571E1"/>
    <w:rsid w:val="00757A16"/>
    <w:rsid w:val="007604B2"/>
    <w:rsid w:val="00764170"/>
    <w:rsid w:val="00764F8E"/>
    <w:rsid w:val="00765281"/>
    <w:rsid w:val="00766A27"/>
    <w:rsid w:val="00766BAD"/>
    <w:rsid w:val="007729A2"/>
    <w:rsid w:val="007755F2"/>
    <w:rsid w:val="00776971"/>
    <w:rsid w:val="00780A80"/>
    <w:rsid w:val="0078177E"/>
    <w:rsid w:val="0078304C"/>
    <w:rsid w:val="00783673"/>
    <w:rsid w:val="00785490"/>
    <w:rsid w:val="00790B0E"/>
    <w:rsid w:val="00790C18"/>
    <w:rsid w:val="007923F6"/>
    <w:rsid w:val="007925EA"/>
    <w:rsid w:val="00793CD8"/>
    <w:rsid w:val="00795C92"/>
    <w:rsid w:val="00796231"/>
    <w:rsid w:val="007A19C2"/>
    <w:rsid w:val="007A1CB3"/>
    <w:rsid w:val="007A306F"/>
    <w:rsid w:val="007A43A6"/>
    <w:rsid w:val="007A5001"/>
    <w:rsid w:val="007A58A6"/>
    <w:rsid w:val="007B1059"/>
    <w:rsid w:val="007B328F"/>
    <w:rsid w:val="007B3D2D"/>
    <w:rsid w:val="007B4116"/>
    <w:rsid w:val="007B50AE"/>
    <w:rsid w:val="007B51DF"/>
    <w:rsid w:val="007B5233"/>
    <w:rsid w:val="007C05DD"/>
    <w:rsid w:val="007C3D18"/>
    <w:rsid w:val="007C60BF"/>
    <w:rsid w:val="007C6A07"/>
    <w:rsid w:val="007C75A1"/>
    <w:rsid w:val="007C77A5"/>
    <w:rsid w:val="007C7F8C"/>
    <w:rsid w:val="007D04E5"/>
    <w:rsid w:val="007D067B"/>
    <w:rsid w:val="007D179E"/>
    <w:rsid w:val="007D3204"/>
    <w:rsid w:val="007D5901"/>
    <w:rsid w:val="007D6340"/>
    <w:rsid w:val="007D7526"/>
    <w:rsid w:val="007E4610"/>
    <w:rsid w:val="007E4715"/>
    <w:rsid w:val="007E505B"/>
    <w:rsid w:val="007E7091"/>
    <w:rsid w:val="007F183F"/>
    <w:rsid w:val="007F504B"/>
    <w:rsid w:val="007F7C6F"/>
    <w:rsid w:val="008035EF"/>
    <w:rsid w:val="00803FAE"/>
    <w:rsid w:val="00805E27"/>
    <w:rsid w:val="0080605F"/>
    <w:rsid w:val="00807786"/>
    <w:rsid w:val="00811EB3"/>
    <w:rsid w:val="00811FCB"/>
    <w:rsid w:val="008158D6"/>
    <w:rsid w:val="00817196"/>
    <w:rsid w:val="008235DB"/>
    <w:rsid w:val="00824825"/>
    <w:rsid w:val="00824AB4"/>
    <w:rsid w:val="00825C42"/>
    <w:rsid w:val="00825D25"/>
    <w:rsid w:val="00827D6F"/>
    <w:rsid w:val="008376AC"/>
    <w:rsid w:val="00840CD8"/>
    <w:rsid w:val="00844246"/>
    <w:rsid w:val="008444E8"/>
    <w:rsid w:val="00844E80"/>
    <w:rsid w:val="00846FE7"/>
    <w:rsid w:val="00856911"/>
    <w:rsid w:val="008604FF"/>
    <w:rsid w:val="00860AAB"/>
    <w:rsid w:val="0086430B"/>
    <w:rsid w:val="00865FB7"/>
    <w:rsid w:val="00866080"/>
    <w:rsid w:val="008677FD"/>
    <w:rsid w:val="008706D4"/>
    <w:rsid w:val="00870F8A"/>
    <w:rsid w:val="008719A4"/>
    <w:rsid w:val="00871D23"/>
    <w:rsid w:val="008727D3"/>
    <w:rsid w:val="00872AC9"/>
    <w:rsid w:val="00874312"/>
    <w:rsid w:val="0087437C"/>
    <w:rsid w:val="00875CD7"/>
    <w:rsid w:val="00876B4D"/>
    <w:rsid w:val="00877C89"/>
    <w:rsid w:val="00877F18"/>
    <w:rsid w:val="0088023A"/>
    <w:rsid w:val="00886F38"/>
    <w:rsid w:val="00890C9F"/>
    <w:rsid w:val="008941E3"/>
    <w:rsid w:val="00894397"/>
    <w:rsid w:val="00894A88"/>
    <w:rsid w:val="00895386"/>
    <w:rsid w:val="008A0EAF"/>
    <w:rsid w:val="008A21FF"/>
    <w:rsid w:val="008A2CE2"/>
    <w:rsid w:val="008A30AC"/>
    <w:rsid w:val="008A44B8"/>
    <w:rsid w:val="008A51A8"/>
    <w:rsid w:val="008A54C7"/>
    <w:rsid w:val="008A77D8"/>
    <w:rsid w:val="008B0483"/>
    <w:rsid w:val="008B116C"/>
    <w:rsid w:val="008B120C"/>
    <w:rsid w:val="008B51A0"/>
    <w:rsid w:val="008B592A"/>
    <w:rsid w:val="008B7B5C"/>
    <w:rsid w:val="008C0C99"/>
    <w:rsid w:val="008C2017"/>
    <w:rsid w:val="008C4958"/>
    <w:rsid w:val="008C4BAA"/>
    <w:rsid w:val="008C6AE8"/>
    <w:rsid w:val="008C7573"/>
    <w:rsid w:val="008D00A5"/>
    <w:rsid w:val="008D34F1"/>
    <w:rsid w:val="008D39D8"/>
    <w:rsid w:val="008D3B81"/>
    <w:rsid w:val="008D41A8"/>
    <w:rsid w:val="008D473B"/>
    <w:rsid w:val="008D6D1A"/>
    <w:rsid w:val="008D7407"/>
    <w:rsid w:val="008E065E"/>
    <w:rsid w:val="008E0927"/>
    <w:rsid w:val="008E11AB"/>
    <w:rsid w:val="008E1909"/>
    <w:rsid w:val="008E5ADC"/>
    <w:rsid w:val="008F1E18"/>
    <w:rsid w:val="008F1EAB"/>
    <w:rsid w:val="008F33DC"/>
    <w:rsid w:val="008F477F"/>
    <w:rsid w:val="008F749B"/>
    <w:rsid w:val="00900066"/>
    <w:rsid w:val="00901561"/>
    <w:rsid w:val="00902350"/>
    <w:rsid w:val="009026DA"/>
    <w:rsid w:val="0090336B"/>
    <w:rsid w:val="00904FC4"/>
    <w:rsid w:val="009053AA"/>
    <w:rsid w:val="00906939"/>
    <w:rsid w:val="00906B57"/>
    <w:rsid w:val="00910B7D"/>
    <w:rsid w:val="00911DFB"/>
    <w:rsid w:val="009139D9"/>
    <w:rsid w:val="00914AD4"/>
    <w:rsid w:val="00914AD8"/>
    <w:rsid w:val="00916079"/>
    <w:rsid w:val="00917CE9"/>
    <w:rsid w:val="00920BF2"/>
    <w:rsid w:val="00920DA3"/>
    <w:rsid w:val="00922010"/>
    <w:rsid w:val="0092271D"/>
    <w:rsid w:val="0092535D"/>
    <w:rsid w:val="00931BD9"/>
    <w:rsid w:val="00931E2D"/>
    <w:rsid w:val="00931ED7"/>
    <w:rsid w:val="00936875"/>
    <w:rsid w:val="009368F3"/>
    <w:rsid w:val="00941636"/>
    <w:rsid w:val="00943742"/>
    <w:rsid w:val="00945C05"/>
    <w:rsid w:val="00946945"/>
    <w:rsid w:val="00947713"/>
    <w:rsid w:val="00950DE7"/>
    <w:rsid w:val="00952411"/>
    <w:rsid w:val="00953920"/>
    <w:rsid w:val="00953D47"/>
    <w:rsid w:val="0095681E"/>
    <w:rsid w:val="009572D4"/>
    <w:rsid w:val="00960907"/>
    <w:rsid w:val="00961204"/>
    <w:rsid w:val="00961921"/>
    <w:rsid w:val="0096315A"/>
    <w:rsid w:val="0096430A"/>
    <w:rsid w:val="0096554B"/>
    <w:rsid w:val="0096584A"/>
    <w:rsid w:val="00967E8D"/>
    <w:rsid w:val="00971F08"/>
    <w:rsid w:val="0097603D"/>
    <w:rsid w:val="00976949"/>
    <w:rsid w:val="00980477"/>
    <w:rsid w:val="00984835"/>
    <w:rsid w:val="00985253"/>
    <w:rsid w:val="009853B3"/>
    <w:rsid w:val="00986F19"/>
    <w:rsid w:val="00990630"/>
    <w:rsid w:val="009915DE"/>
    <w:rsid w:val="00991761"/>
    <w:rsid w:val="00994DCA"/>
    <w:rsid w:val="009960EC"/>
    <w:rsid w:val="009970DD"/>
    <w:rsid w:val="009A0FBA"/>
    <w:rsid w:val="009A12BE"/>
    <w:rsid w:val="009A1601"/>
    <w:rsid w:val="009A3087"/>
    <w:rsid w:val="009A3BB6"/>
    <w:rsid w:val="009A462D"/>
    <w:rsid w:val="009A5CBA"/>
    <w:rsid w:val="009B1F30"/>
    <w:rsid w:val="009B2DD7"/>
    <w:rsid w:val="009B3AC2"/>
    <w:rsid w:val="009B4DF4"/>
    <w:rsid w:val="009B564E"/>
    <w:rsid w:val="009B7E87"/>
    <w:rsid w:val="009C0169"/>
    <w:rsid w:val="009C403E"/>
    <w:rsid w:val="009D3765"/>
    <w:rsid w:val="009D48CC"/>
    <w:rsid w:val="009D4E24"/>
    <w:rsid w:val="009D4FF0"/>
    <w:rsid w:val="009D703C"/>
    <w:rsid w:val="009D718F"/>
    <w:rsid w:val="009E068F"/>
    <w:rsid w:val="009E14E0"/>
    <w:rsid w:val="009E34E7"/>
    <w:rsid w:val="009E35DB"/>
    <w:rsid w:val="009E47A3"/>
    <w:rsid w:val="009E5164"/>
    <w:rsid w:val="009E59FF"/>
    <w:rsid w:val="009E6393"/>
    <w:rsid w:val="009F08F3"/>
    <w:rsid w:val="009F344F"/>
    <w:rsid w:val="00A031D8"/>
    <w:rsid w:val="00A032D0"/>
    <w:rsid w:val="00A048A8"/>
    <w:rsid w:val="00A04F49"/>
    <w:rsid w:val="00A0696E"/>
    <w:rsid w:val="00A12E0F"/>
    <w:rsid w:val="00A13E54"/>
    <w:rsid w:val="00A17C2C"/>
    <w:rsid w:val="00A17F63"/>
    <w:rsid w:val="00A2193B"/>
    <w:rsid w:val="00A2351A"/>
    <w:rsid w:val="00A2537E"/>
    <w:rsid w:val="00A264A9"/>
    <w:rsid w:val="00A26846"/>
    <w:rsid w:val="00A26DCF"/>
    <w:rsid w:val="00A27151"/>
    <w:rsid w:val="00A27785"/>
    <w:rsid w:val="00A30187"/>
    <w:rsid w:val="00A30886"/>
    <w:rsid w:val="00A3401A"/>
    <w:rsid w:val="00A3448A"/>
    <w:rsid w:val="00A34D25"/>
    <w:rsid w:val="00A36297"/>
    <w:rsid w:val="00A41E2B"/>
    <w:rsid w:val="00A43450"/>
    <w:rsid w:val="00A45B74"/>
    <w:rsid w:val="00A45C8D"/>
    <w:rsid w:val="00A4618E"/>
    <w:rsid w:val="00A52E1D"/>
    <w:rsid w:val="00A61290"/>
    <w:rsid w:val="00A61499"/>
    <w:rsid w:val="00A62A77"/>
    <w:rsid w:val="00A63483"/>
    <w:rsid w:val="00A657D7"/>
    <w:rsid w:val="00A660AC"/>
    <w:rsid w:val="00A6789E"/>
    <w:rsid w:val="00A67E6C"/>
    <w:rsid w:val="00A71B99"/>
    <w:rsid w:val="00A737F5"/>
    <w:rsid w:val="00A739D0"/>
    <w:rsid w:val="00A761D4"/>
    <w:rsid w:val="00A77EC4"/>
    <w:rsid w:val="00A81670"/>
    <w:rsid w:val="00A84108"/>
    <w:rsid w:val="00A914AF"/>
    <w:rsid w:val="00A92879"/>
    <w:rsid w:val="00A9442A"/>
    <w:rsid w:val="00AA016F"/>
    <w:rsid w:val="00AA1ED6"/>
    <w:rsid w:val="00AA48B5"/>
    <w:rsid w:val="00AA51D6"/>
    <w:rsid w:val="00AA5551"/>
    <w:rsid w:val="00AB0BC8"/>
    <w:rsid w:val="00AB11CA"/>
    <w:rsid w:val="00AB14D9"/>
    <w:rsid w:val="00AB3F85"/>
    <w:rsid w:val="00AB4AB8"/>
    <w:rsid w:val="00AB655E"/>
    <w:rsid w:val="00AB66E7"/>
    <w:rsid w:val="00AC007F"/>
    <w:rsid w:val="00AC2ECD"/>
    <w:rsid w:val="00AC3119"/>
    <w:rsid w:val="00AC49FB"/>
    <w:rsid w:val="00AC5A10"/>
    <w:rsid w:val="00AD012E"/>
    <w:rsid w:val="00AD0AA3"/>
    <w:rsid w:val="00AD3F94"/>
    <w:rsid w:val="00AD4A5A"/>
    <w:rsid w:val="00AE27AC"/>
    <w:rsid w:val="00AE40E0"/>
    <w:rsid w:val="00AE4DBA"/>
    <w:rsid w:val="00AE4F07"/>
    <w:rsid w:val="00AE5486"/>
    <w:rsid w:val="00AE668C"/>
    <w:rsid w:val="00AE6788"/>
    <w:rsid w:val="00AF134D"/>
    <w:rsid w:val="00AF1C5D"/>
    <w:rsid w:val="00AF349C"/>
    <w:rsid w:val="00AF42D7"/>
    <w:rsid w:val="00B006FE"/>
    <w:rsid w:val="00B007CB"/>
    <w:rsid w:val="00B02134"/>
    <w:rsid w:val="00B02AA9"/>
    <w:rsid w:val="00B02FA3"/>
    <w:rsid w:val="00B05084"/>
    <w:rsid w:val="00B079F9"/>
    <w:rsid w:val="00B14F14"/>
    <w:rsid w:val="00B157F9"/>
    <w:rsid w:val="00B1671A"/>
    <w:rsid w:val="00B20256"/>
    <w:rsid w:val="00B20D09"/>
    <w:rsid w:val="00B2763F"/>
    <w:rsid w:val="00B27AAC"/>
    <w:rsid w:val="00B30929"/>
    <w:rsid w:val="00B3439D"/>
    <w:rsid w:val="00B372AA"/>
    <w:rsid w:val="00B3753F"/>
    <w:rsid w:val="00B37AD9"/>
    <w:rsid w:val="00B37DDA"/>
    <w:rsid w:val="00B401B8"/>
    <w:rsid w:val="00B40445"/>
    <w:rsid w:val="00B409E0"/>
    <w:rsid w:val="00B41888"/>
    <w:rsid w:val="00B438CF"/>
    <w:rsid w:val="00B43B6B"/>
    <w:rsid w:val="00B44AA8"/>
    <w:rsid w:val="00B45A52"/>
    <w:rsid w:val="00B46175"/>
    <w:rsid w:val="00B46B54"/>
    <w:rsid w:val="00B548B7"/>
    <w:rsid w:val="00B62F2E"/>
    <w:rsid w:val="00B65FEC"/>
    <w:rsid w:val="00B66486"/>
    <w:rsid w:val="00B664C7"/>
    <w:rsid w:val="00B67929"/>
    <w:rsid w:val="00B703C2"/>
    <w:rsid w:val="00B714B6"/>
    <w:rsid w:val="00B739F6"/>
    <w:rsid w:val="00B75143"/>
    <w:rsid w:val="00B773EF"/>
    <w:rsid w:val="00B81A6C"/>
    <w:rsid w:val="00B84A2F"/>
    <w:rsid w:val="00B85DB6"/>
    <w:rsid w:val="00B85DE5"/>
    <w:rsid w:val="00B908F5"/>
    <w:rsid w:val="00B90F73"/>
    <w:rsid w:val="00B91F6C"/>
    <w:rsid w:val="00B93B59"/>
    <w:rsid w:val="00B9406A"/>
    <w:rsid w:val="00B97DA2"/>
    <w:rsid w:val="00BA2280"/>
    <w:rsid w:val="00BA2A08"/>
    <w:rsid w:val="00BA56D2"/>
    <w:rsid w:val="00BA76E0"/>
    <w:rsid w:val="00BB0541"/>
    <w:rsid w:val="00BB2A25"/>
    <w:rsid w:val="00BB32DF"/>
    <w:rsid w:val="00BB469E"/>
    <w:rsid w:val="00BB51E9"/>
    <w:rsid w:val="00BB7E22"/>
    <w:rsid w:val="00BC0FDC"/>
    <w:rsid w:val="00BC3053"/>
    <w:rsid w:val="00BC4D2E"/>
    <w:rsid w:val="00BC5824"/>
    <w:rsid w:val="00BD4793"/>
    <w:rsid w:val="00BD48AC"/>
    <w:rsid w:val="00BD5F1A"/>
    <w:rsid w:val="00BE05B4"/>
    <w:rsid w:val="00BE1234"/>
    <w:rsid w:val="00BE2261"/>
    <w:rsid w:val="00BE2FA6"/>
    <w:rsid w:val="00BE333F"/>
    <w:rsid w:val="00BE7406"/>
    <w:rsid w:val="00BE7603"/>
    <w:rsid w:val="00BF3014"/>
    <w:rsid w:val="00BF3279"/>
    <w:rsid w:val="00BF74C7"/>
    <w:rsid w:val="00C015F1"/>
    <w:rsid w:val="00C01F33"/>
    <w:rsid w:val="00C02CC6"/>
    <w:rsid w:val="00C040F7"/>
    <w:rsid w:val="00C044AB"/>
    <w:rsid w:val="00C05706"/>
    <w:rsid w:val="00C07377"/>
    <w:rsid w:val="00C10478"/>
    <w:rsid w:val="00C12107"/>
    <w:rsid w:val="00C14D4B"/>
    <w:rsid w:val="00C14FA2"/>
    <w:rsid w:val="00C154B4"/>
    <w:rsid w:val="00C154BB"/>
    <w:rsid w:val="00C22C98"/>
    <w:rsid w:val="00C23867"/>
    <w:rsid w:val="00C2416E"/>
    <w:rsid w:val="00C24EFD"/>
    <w:rsid w:val="00C257B9"/>
    <w:rsid w:val="00C279B5"/>
    <w:rsid w:val="00C27C45"/>
    <w:rsid w:val="00C36908"/>
    <w:rsid w:val="00C3719D"/>
    <w:rsid w:val="00C37605"/>
    <w:rsid w:val="00C377C8"/>
    <w:rsid w:val="00C37CB2"/>
    <w:rsid w:val="00C426AF"/>
    <w:rsid w:val="00C473A5"/>
    <w:rsid w:val="00C51F4E"/>
    <w:rsid w:val="00C54995"/>
    <w:rsid w:val="00C54D41"/>
    <w:rsid w:val="00C5702F"/>
    <w:rsid w:val="00C60783"/>
    <w:rsid w:val="00C64672"/>
    <w:rsid w:val="00C67B25"/>
    <w:rsid w:val="00C70697"/>
    <w:rsid w:val="00C72093"/>
    <w:rsid w:val="00C72EF4"/>
    <w:rsid w:val="00C73D69"/>
    <w:rsid w:val="00C744FE"/>
    <w:rsid w:val="00C75D2F"/>
    <w:rsid w:val="00C7655B"/>
    <w:rsid w:val="00C767BE"/>
    <w:rsid w:val="00C76E3C"/>
    <w:rsid w:val="00C81568"/>
    <w:rsid w:val="00C9027A"/>
    <w:rsid w:val="00C9068E"/>
    <w:rsid w:val="00C92F6B"/>
    <w:rsid w:val="00C93814"/>
    <w:rsid w:val="00C93C4B"/>
    <w:rsid w:val="00C944AB"/>
    <w:rsid w:val="00C95ADC"/>
    <w:rsid w:val="00C95B40"/>
    <w:rsid w:val="00CA1ED8"/>
    <w:rsid w:val="00CA7608"/>
    <w:rsid w:val="00CB1F63"/>
    <w:rsid w:val="00CB2737"/>
    <w:rsid w:val="00CB409B"/>
    <w:rsid w:val="00CB660C"/>
    <w:rsid w:val="00CB7170"/>
    <w:rsid w:val="00CC040E"/>
    <w:rsid w:val="00CC111F"/>
    <w:rsid w:val="00CC2011"/>
    <w:rsid w:val="00CC3EA0"/>
    <w:rsid w:val="00CC7B45"/>
    <w:rsid w:val="00CD1188"/>
    <w:rsid w:val="00CD2ED1"/>
    <w:rsid w:val="00CD337B"/>
    <w:rsid w:val="00CE0424"/>
    <w:rsid w:val="00CE0BAC"/>
    <w:rsid w:val="00CE38EC"/>
    <w:rsid w:val="00CE7561"/>
    <w:rsid w:val="00CE7929"/>
    <w:rsid w:val="00CF1354"/>
    <w:rsid w:val="00CF2DBF"/>
    <w:rsid w:val="00CF3B1F"/>
    <w:rsid w:val="00CF3BF6"/>
    <w:rsid w:val="00CF4BCC"/>
    <w:rsid w:val="00CF625B"/>
    <w:rsid w:val="00CF687E"/>
    <w:rsid w:val="00D0349B"/>
    <w:rsid w:val="00D10249"/>
    <w:rsid w:val="00D115C3"/>
    <w:rsid w:val="00D11897"/>
    <w:rsid w:val="00D13135"/>
    <w:rsid w:val="00D13E4E"/>
    <w:rsid w:val="00D22AB5"/>
    <w:rsid w:val="00D239A7"/>
    <w:rsid w:val="00D23F47"/>
    <w:rsid w:val="00D250FB"/>
    <w:rsid w:val="00D263D5"/>
    <w:rsid w:val="00D3491E"/>
    <w:rsid w:val="00D36E71"/>
    <w:rsid w:val="00D37D87"/>
    <w:rsid w:val="00D40B33"/>
    <w:rsid w:val="00D4318F"/>
    <w:rsid w:val="00D438BF"/>
    <w:rsid w:val="00D440F8"/>
    <w:rsid w:val="00D4682B"/>
    <w:rsid w:val="00D546FF"/>
    <w:rsid w:val="00D55AD5"/>
    <w:rsid w:val="00D576CA"/>
    <w:rsid w:val="00D606B3"/>
    <w:rsid w:val="00D61AF5"/>
    <w:rsid w:val="00D6517C"/>
    <w:rsid w:val="00D652B5"/>
    <w:rsid w:val="00D66155"/>
    <w:rsid w:val="00D66CEB"/>
    <w:rsid w:val="00D708B0"/>
    <w:rsid w:val="00D77B1D"/>
    <w:rsid w:val="00D8021F"/>
    <w:rsid w:val="00D80383"/>
    <w:rsid w:val="00D823C6"/>
    <w:rsid w:val="00D8327F"/>
    <w:rsid w:val="00D86CA3"/>
    <w:rsid w:val="00D871CE"/>
    <w:rsid w:val="00D9196D"/>
    <w:rsid w:val="00D92982"/>
    <w:rsid w:val="00DA225B"/>
    <w:rsid w:val="00DA305E"/>
    <w:rsid w:val="00DA5417"/>
    <w:rsid w:val="00DA56E8"/>
    <w:rsid w:val="00DA73AF"/>
    <w:rsid w:val="00DB0A9F"/>
    <w:rsid w:val="00DB377D"/>
    <w:rsid w:val="00DB70D5"/>
    <w:rsid w:val="00DC28C1"/>
    <w:rsid w:val="00DC2D36"/>
    <w:rsid w:val="00DC3932"/>
    <w:rsid w:val="00DC53EF"/>
    <w:rsid w:val="00DC6854"/>
    <w:rsid w:val="00DE0C6A"/>
    <w:rsid w:val="00DE3195"/>
    <w:rsid w:val="00DE5608"/>
    <w:rsid w:val="00DE58D0"/>
    <w:rsid w:val="00DE654F"/>
    <w:rsid w:val="00DE6775"/>
    <w:rsid w:val="00DE6C90"/>
    <w:rsid w:val="00DF0564"/>
    <w:rsid w:val="00DF0B6E"/>
    <w:rsid w:val="00DF15E0"/>
    <w:rsid w:val="00DF37A0"/>
    <w:rsid w:val="00E04332"/>
    <w:rsid w:val="00E06BFB"/>
    <w:rsid w:val="00E0750A"/>
    <w:rsid w:val="00E110E7"/>
    <w:rsid w:val="00E11B20"/>
    <w:rsid w:val="00E162EA"/>
    <w:rsid w:val="00E175A1"/>
    <w:rsid w:val="00E17FA2"/>
    <w:rsid w:val="00E22330"/>
    <w:rsid w:val="00E30B5A"/>
    <w:rsid w:val="00E3123D"/>
    <w:rsid w:val="00E31461"/>
    <w:rsid w:val="00E31D43"/>
    <w:rsid w:val="00E32608"/>
    <w:rsid w:val="00E328A7"/>
    <w:rsid w:val="00E330FB"/>
    <w:rsid w:val="00E331CB"/>
    <w:rsid w:val="00E34188"/>
    <w:rsid w:val="00E34B6E"/>
    <w:rsid w:val="00E35559"/>
    <w:rsid w:val="00E3723A"/>
    <w:rsid w:val="00E37860"/>
    <w:rsid w:val="00E446F1"/>
    <w:rsid w:val="00E46886"/>
    <w:rsid w:val="00E47AEF"/>
    <w:rsid w:val="00E527E2"/>
    <w:rsid w:val="00E53B75"/>
    <w:rsid w:val="00E54E3B"/>
    <w:rsid w:val="00E57565"/>
    <w:rsid w:val="00E63838"/>
    <w:rsid w:val="00E64434"/>
    <w:rsid w:val="00E67C51"/>
    <w:rsid w:val="00E72EFC"/>
    <w:rsid w:val="00E739C1"/>
    <w:rsid w:val="00E758EC"/>
    <w:rsid w:val="00E773F6"/>
    <w:rsid w:val="00E819B8"/>
    <w:rsid w:val="00E8234C"/>
    <w:rsid w:val="00E82507"/>
    <w:rsid w:val="00E83AA9"/>
    <w:rsid w:val="00E85928"/>
    <w:rsid w:val="00E87822"/>
    <w:rsid w:val="00E90395"/>
    <w:rsid w:val="00E90E49"/>
    <w:rsid w:val="00E917F9"/>
    <w:rsid w:val="00E9291C"/>
    <w:rsid w:val="00E93FFE"/>
    <w:rsid w:val="00E942C7"/>
    <w:rsid w:val="00E94F8A"/>
    <w:rsid w:val="00E95BF7"/>
    <w:rsid w:val="00E97C62"/>
    <w:rsid w:val="00EA1F10"/>
    <w:rsid w:val="00EA7A41"/>
    <w:rsid w:val="00EB077B"/>
    <w:rsid w:val="00EB4EA2"/>
    <w:rsid w:val="00EB6271"/>
    <w:rsid w:val="00EB7EEC"/>
    <w:rsid w:val="00EC06A0"/>
    <w:rsid w:val="00EC24D5"/>
    <w:rsid w:val="00EC27C6"/>
    <w:rsid w:val="00EC4207"/>
    <w:rsid w:val="00EC4447"/>
    <w:rsid w:val="00EC5653"/>
    <w:rsid w:val="00EC5DDE"/>
    <w:rsid w:val="00EC71CE"/>
    <w:rsid w:val="00ED1006"/>
    <w:rsid w:val="00EE1674"/>
    <w:rsid w:val="00EE1B8C"/>
    <w:rsid w:val="00EE1F43"/>
    <w:rsid w:val="00EE32C1"/>
    <w:rsid w:val="00EE7622"/>
    <w:rsid w:val="00EF0074"/>
    <w:rsid w:val="00EF0E40"/>
    <w:rsid w:val="00EF18FE"/>
    <w:rsid w:val="00EF402A"/>
    <w:rsid w:val="00EF5787"/>
    <w:rsid w:val="00EF60D0"/>
    <w:rsid w:val="00F0528D"/>
    <w:rsid w:val="00F06696"/>
    <w:rsid w:val="00F06C67"/>
    <w:rsid w:val="00F06DFD"/>
    <w:rsid w:val="00F071D1"/>
    <w:rsid w:val="00F07533"/>
    <w:rsid w:val="00F10629"/>
    <w:rsid w:val="00F12825"/>
    <w:rsid w:val="00F12834"/>
    <w:rsid w:val="00F14726"/>
    <w:rsid w:val="00F15FA5"/>
    <w:rsid w:val="00F209B7"/>
    <w:rsid w:val="00F21248"/>
    <w:rsid w:val="00F21D90"/>
    <w:rsid w:val="00F2376F"/>
    <w:rsid w:val="00F243D8"/>
    <w:rsid w:val="00F26F1D"/>
    <w:rsid w:val="00F30828"/>
    <w:rsid w:val="00F313D6"/>
    <w:rsid w:val="00F36C4C"/>
    <w:rsid w:val="00F4078B"/>
    <w:rsid w:val="00F40F0C"/>
    <w:rsid w:val="00F456A0"/>
    <w:rsid w:val="00F4766C"/>
    <w:rsid w:val="00F5060E"/>
    <w:rsid w:val="00F507D1"/>
    <w:rsid w:val="00F519CE"/>
    <w:rsid w:val="00F51ADA"/>
    <w:rsid w:val="00F520A3"/>
    <w:rsid w:val="00F5259C"/>
    <w:rsid w:val="00F54349"/>
    <w:rsid w:val="00F54773"/>
    <w:rsid w:val="00F60203"/>
    <w:rsid w:val="00F607C5"/>
    <w:rsid w:val="00F60DEA"/>
    <w:rsid w:val="00F6302A"/>
    <w:rsid w:val="00F63950"/>
    <w:rsid w:val="00F64C2B"/>
    <w:rsid w:val="00F651BE"/>
    <w:rsid w:val="00F67F53"/>
    <w:rsid w:val="00F703BE"/>
    <w:rsid w:val="00F71F69"/>
    <w:rsid w:val="00F72695"/>
    <w:rsid w:val="00F72B72"/>
    <w:rsid w:val="00F7392A"/>
    <w:rsid w:val="00F74BB9"/>
    <w:rsid w:val="00F75582"/>
    <w:rsid w:val="00F76EFA"/>
    <w:rsid w:val="00F77F51"/>
    <w:rsid w:val="00F804BE"/>
    <w:rsid w:val="00F8092E"/>
    <w:rsid w:val="00F817CE"/>
    <w:rsid w:val="00F8456C"/>
    <w:rsid w:val="00F859D8"/>
    <w:rsid w:val="00F867E1"/>
    <w:rsid w:val="00F868F5"/>
    <w:rsid w:val="00F9056A"/>
    <w:rsid w:val="00F90F8D"/>
    <w:rsid w:val="00F92782"/>
    <w:rsid w:val="00F93044"/>
    <w:rsid w:val="00F93AA9"/>
    <w:rsid w:val="00F94AAD"/>
    <w:rsid w:val="00F96985"/>
    <w:rsid w:val="00F9770E"/>
    <w:rsid w:val="00F97838"/>
    <w:rsid w:val="00FA1106"/>
    <w:rsid w:val="00FA2BB3"/>
    <w:rsid w:val="00FA7397"/>
    <w:rsid w:val="00FA7EAD"/>
    <w:rsid w:val="00FB4C80"/>
    <w:rsid w:val="00FB6A6A"/>
    <w:rsid w:val="00FB6CF3"/>
    <w:rsid w:val="00FB7C1F"/>
    <w:rsid w:val="00FC06D6"/>
    <w:rsid w:val="00FC2829"/>
    <w:rsid w:val="00FC31E4"/>
    <w:rsid w:val="00FC7429"/>
    <w:rsid w:val="00FD07F6"/>
    <w:rsid w:val="00FD1EC8"/>
    <w:rsid w:val="00FD244C"/>
    <w:rsid w:val="00FD47ED"/>
    <w:rsid w:val="00FD74DB"/>
    <w:rsid w:val="00FD7660"/>
    <w:rsid w:val="00FE0655"/>
    <w:rsid w:val="00FE2365"/>
    <w:rsid w:val="00FE37D7"/>
    <w:rsid w:val="00FE4C7B"/>
    <w:rsid w:val="00FE4E6A"/>
    <w:rsid w:val="00FE7336"/>
    <w:rsid w:val="00FE787C"/>
    <w:rsid w:val="00FF0001"/>
    <w:rsid w:val="00FF0BF7"/>
    <w:rsid w:val="00FF45A5"/>
    <w:rsid w:val="00FF4F44"/>
    <w:rsid w:val="00FF5247"/>
    <w:rsid w:val="00FF5C91"/>
    <w:rsid w:val="00FF66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701C6BB0-E549-4F32-96DC-3FC78E00C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Agreement">
    <w:name w:val="Agreement"/>
    <w:basedOn w:val="Normal"/>
    <w:next w:val="Normal"/>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
    <w:name w:val="Style1"/>
    <w:basedOn w:val="DefaultParagraphFont"/>
    <w:uiPriority w:val="1"/>
    <w:qFormat/>
    <w:rsid w:val="0025768B"/>
    <w:rPr>
      <w:rFonts w:ascii="Calibri" w:hAnsi="Calibri" w:cs="Calibri" w:hint="default"/>
      <w:color w:val="FF0000"/>
    </w:rPr>
  </w:style>
  <w:style w:type="table" w:customStyle="1" w:styleId="TableGrid3">
    <w:name w:val="Table Grid3"/>
    <w:basedOn w:val="TableNormal"/>
    <w:next w:val="TableGrid"/>
    <w:rsid w:val="00F739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E6C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FAC5C-458C-433C-9647-D1B703CBC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E4F6D0E-09F1-4F59-A8AF-5CACAF554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2</Pages>
  <Words>855</Words>
  <Characters>4878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5722</CharactersWithSpaces>
  <SharedDoc>false</SharedDoc>
  <HyperlinkBase/>
  <HLinks>
    <vt:vector size="12" baseType="variant">
      <vt:variant>
        <vt:i4>5111825</vt:i4>
      </vt:variant>
      <vt:variant>
        <vt:i4>15</vt:i4>
      </vt:variant>
      <vt:variant>
        <vt:i4>0</vt:i4>
      </vt:variant>
      <vt:variant>
        <vt:i4>5</vt:i4>
      </vt:variant>
      <vt:variant>
        <vt:lpwstr>http://www.3gpp.org/ftp/tsg_sa/WG2_Arch//TSGS2_134_Sapporo/Docs//S2-1912769.zip</vt:lpwstr>
      </vt:variant>
      <vt:variant>
        <vt:lpwstr/>
      </vt:variant>
      <vt:variant>
        <vt:i4>1048635</vt:i4>
      </vt:variant>
      <vt:variant>
        <vt:i4>11</vt:i4>
      </vt:variant>
      <vt:variant>
        <vt:i4>0</vt:i4>
      </vt:variant>
      <vt:variant>
        <vt:i4>5</vt:i4>
      </vt:variant>
      <vt:variant>
        <vt:lpwstr/>
      </vt:variant>
      <vt:variant>
        <vt:lpwstr>_Toc28856872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Zhenhua Zou</cp:lastModifiedBy>
  <cp:revision>449</cp:revision>
  <cp:lastPrinted>2008-01-31T16:09:00Z</cp:lastPrinted>
  <dcterms:created xsi:type="dcterms:W3CDTF">2019-11-29T20:49:00Z</dcterms:created>
  <dcterms:modified xsi:type="dcterms:W3CDTF">2020-04-09T18:35:00Z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